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_GB2312" w:eastAsia="仿宋_GB2312"/>
          <w:b/>
          <w:w w:val="90"/>
          <w:sz w:val="36"/>
          <w:szCs w:val="36"/>
        </w:rPr>
      </w:pPr>
      <w:r>
        <w:rPr>
          <w:rFonts w:hint="eastAsia" w:ascii="仿宋_GB2312" w:eastAsia="仿宋_GB2312"/>
          <w:b/>
          <w:w w:val="90"/>
          <w:sz w:val="36"/>
          <w:szCs w:val="36"/>
          <w:lang w:eastAsia="zh-CN"/>
        </w:rPr>
        <w:t>花园路中段东侧支路</w:t>
      </w:r>
      <w:r>
        <w:rPr>
          <w:rFonts w:hint="eastAsia" w:ascii="仿宋_GB2312" w:eastAsia="仿宋_GB2312"/>
          <w:b/>
          <w:w w:val="90"/>
          <w:sz w:val="36"/>
          <w:szCs w:val="36"/>
        </w:rPr>
        <w:t>项目国有土地上房屋征收补偿安置方案（征求意见稿）</w:t>
      </w:r>
    </w:p>
    <w:p>
      <w:pPr>
        <w:spacing w:line="480" w:lineRule="exact"/>
        <w:rPr>
          <w:rFonts w:ascii="仿宋_GB2312" w:eastAsia="仿宋_GB2312"/>
          <w:sz w:val="32"/>
          <w:szCs w:val="32"/>
        </w:rPr>
      </w:pPr>
      <w:r>
        <w:rPr>
          <w:rFonts w:hint="eastAsia" w:ascii="仿宋_GB2312" w:eastAsia="仿宋_GB2312"/>
          <w:sz w:val="32"/>
          <w:szCs w:val="32"/>
        </w:rPr>
        <w:t>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因</w:t>
      </w:r>
      <w:r>
        <w:rPr>
          <w:rFonts w:hint="eastAsia" w:ascii="仿宋_GB2312" w:eastAsia="仿宋_GB2312"/>
          <w:sz w:val="32"/>
          <w:szCs w:val="32"/>
          <w:lang w:eastAsia="zh-CN"/>
        </w:rPr>
        <w:t>花园路中段东侧支路</w:t>
      </w:r>
      <w:r>
        <w:rPr>
          <w:rFonts w:hint="eastAsia" w:ascii="仿宋_GB2312" w:eastAsia="仿宋_GB2312"/>
          <w:sz w:val="32"/>
          <w:szCs w:val="32"/>
        </w:rPr>
        <w:t>项目建设的需要，保护房屋征收当事人的合法权益，根据国务院《国有土地上房屋征收与补偿条例》《浙江省国有土地上房屋征收与补偿条例》《丽水市市区国有土地上房屋征收与补偿办法》及有关法律、法规和我市的有关规定，结合该项目的实际情况，制定本补偿安置方案。</w:t>
      </w:r>
      <w:r>
        <w:rPr>
          <w:rFonts w:ascii="仿宋_GB2312" w:eastAsia="仿宋_GB2312"/>
          <w:sz w:val="32"/>
          <w:szCs w:val="32"/>
        </w:rPr>
        <w:t xml:space="preserve"> </w:t>
      </w:r>
    </w:p>
    <w:p>
      <w:pPr>
        <w:spacing w:line="560" w:lineRule="exact"/>
        <w:ind w:firstLine="645"/>
        <w:rPr>
          <w:rFonts w:ascii="仿宋_GB2312" w:eastAsia="仿宋_GB2312"/>
          <w:b/>
          <w:sz w:val="32"/>
          <w:szCs w:val="32"/>
        </w:rPr>
      </w:pPr>
      <w:r>
        <w:rPr>
          <w:rFonts w:hint="eastAsia" w:ascii="仿宋_GB2312" w:eastAsia="仿宋_GB2312"/>
          <w:b/>
          <w:sz w:val="32"/>
          <w:szCs w:val="32"/>
        </w:rPr>
        <w:t>一、征收目的</w:t>
      </w:r>
    </w:p>
    <w:p>
      <w:pPr>
        <w:widowControl/>
        <w:shd w:val="clear" w:color="auto" w:fill="FFFFFF"/>
        <w:spacing w:line="560" w:lineRule="exact"/>
        <w:ind w:firstLine="707" w:firstLineChars="221"/>
        <w:jc w:val="left"/>
        <w:rPr>
          <w:rFonts w:ascii="仿宋_GB2312" w:eastAsia="仿宋_GB2312"/>
          <w:sz w:val="32"/>
          <w:szCs w:val="32"/>
        </w:rPr>
      </w:pPr>
      <w:r>
        <w:rPr>
          <w:rFonts w:hint="eastAsia" w:ascii="仿宋_GB2312" w:eastAsia="仿宋_GB2312"/>
          <w:sz w:val="32"/>
          <w:szCs w:val="32"/>
        </w:rPr>
        <w:t>为提升城市品味，推进城市有机更新，加快美丽丽水大花园建设，改善人居环境，促进丽水国民经济和社会发展，决定实施</w:t>
      </w:r>
      <w:r>
        <w:rPr>
          <w:rFonts w:hint="eastAsia" w:ascii="仿宋_GB2312" w:eastAsia="仿宋_GB2312"/>
          <w:sz w:val="32"/>
          <w:szCs w:val="32"/>
          <w:lang w:eastAsia="zh-CN"/>
        </w:rPr>
        <w:t>花园路中段东侧支路</w:t>
      </w:r>
      <w:r>
        <w:rPr>
          <w:rFonts w:hint="eastAsia" w:ascii="仿宋_GB2312" w:eastAsia="仿宋_GB2312"/>
          <w:sz w:val="32"/>
          <w:szCs w:val="32"/>
        </w:rPr>
        <w:t>项目建设，对征收范围内国有土地上的房屋予以征收。</w:t>
      </w:r>
    </w:p>
    <w:p>
      <w:pPr>
        <w:spacing w:line="560" w:lineRule="exact"/>
        <w:ind w:firstLine="803" w:firstLineChars="250"/>
        <w:rPr>
          <w:rFonts w:ascii="仿宋_GB2312" w:eastAsia="仿宋_GB2312"/>
          <w:b/>
          <w:sz w:val="32"/>
          <w:szCs w:val="32"/>
        </w:rPr>
      </w:pPr>
      <w:r>
        <w:rPr>
          <w:rFonts w:hint="eastAsia" w:ascii="仿宋_GB2312" w:eastAsia="仿宋_GB2312"/>
          <w:b/>
          <w:sz w:val="32"/>
          <w:szCs w:val="32"/>
        </w:rPr>
        <w:t>二、征收范围</w:t>
      </w:r>
      <w:r>
        <w:rPr>
          <w:rFonts w:ascii="仿宋_GB2312" w:eastAsia="仿宋_GB2312"/>
          <w:b/>
          <w:sz w:val="32"/>
          <w:szCs w:val="32"/>
        </w:rPr>
        <w:t xml:space="preserve"> </w:t>
      </w:r>
    </w:p>
    <w:p>
      <w:pPr>
        <w:widowControl/>
        <w:shd w:val="clear" w:color="auto" w:fill="FFFFFF"/>
        <w:spacing w:line="480" w:lineRule="auto"/>
        <w:ind w:firstLine="800" w:firstLineChars="250"/>
        <w:jc w:val="left"/>
        <w:outlineLvl w:val="1"/>
        <w:rPr>
          <w:rFonts w:ascii="仿宋_GB2312" w:eastAsia="仿宋_GB2312"/>
          <w:sz w:val="32"/>
          <w:szCs w:val="32"/>
        </w:rPr>
      </w:pPr>
      <w:r>
        <w:rPr>
          <w:rFonts w:hint="eastAsia" w:ascii="仿宋_GB2312" w:eastAsia="仿宋_GB2312"/>
          <w:sz w:val="32"/>
          <w:szCs w:val="32"/>
          <w:lang w:eastAsia="zh-CN"/>
        </w:rPr>
        <w:t>花园路中段东侧支路</w:t>
      </w:r>
      <w:r>
        <w:rPr>
          <w:rFonts w:hint="eastAsia" w:ascii="仿宋_GB2312" w:eastAsia="仿宋_GB2312"/>
          <w:sz w:val="32"/>
          <w:szCs w:val="32"/>
        </w:rPr>
        <w:t>项目红线范围（详见</w:t>
      </w:r>
      <w:r>
        <w:rPr>
          <w:rFonts w:hint="eastAsia" w:ascii="仿宋_GB2312" w:eastAsia="仿宋_GB2312"/>
          <w:sz w:val="32"/>
          <w:szCs w:val="32"/>
          <w:lang w:eastAsia="zh-CN"/>
        </w:rPr>
        <w:t>花园路中段东侧支路项目选址红线</w:t>
      </w:r>
      <w:r>
        <w:rPr>
          <w:rFonts w:hint="eastAsia" w:ascii="仿宋_GB2312" w:eastAsia="仿宋_GB2312"/>
          <w:sz w:val="32"/>
          <w:szCs w:val="32"/>
        </w:rPr>
        <w:t>图），同时收回国有土地使用权。</w:t>
      </w:r>
      <w:r>
        <w:rPr>
          <w:rFonts w:ascii="仿宋_GB2312" w:eastAsia="仿宋_GB2312"/>
          <w:sz w:val="32"/>
          <w:szCs w:val="32"/>
        </w:rPr>
        <w:t xml:space="preserve"> </w:t>
      </w:r>
    </w:p>
    <w:p>
      <w:pPr>
        <w:spacing w:line="560" w:lineRule="exact"/>
        <w:ind w:firstLine="645"/>
        <w:rPr>
          <w:rFonts w:ascii="仿宋_GB2312" w:eastAsia="仿宋_GB2312"/>
          <w:b/>
          <w:sz w:val="32"/>
          <w:szCs w:val="32"/>
        </w:rPr>
      </w:pPr>
      <w:r>
        <w:rPr>
          <w:rFonts w:hint="eastAsia" w:ascii="仿宋_GB2312" w:eastAsia="仿宋_GB2312"/>
          <w:b/>
          <w:sz w:val="32"/>
          <w:szCs w:val="32"/>
        </w:rPr>
        <w:t>三、征收部门及委托实施单位</w:t>
      </w:r>
    </w:p>
    <w:p>
      <w:pPr>
        <w:spacing w:line="560" w:lineRule="exact"/>
        <w:ind w:firstLine="645"/>
        <w:rPr>
          <w:rFonts w:ascii="仿宋_GB2312" w:eastAsia="仿宋_GB2312"/>
          <w:sz w:val="32"/>
          <w:szCs w:val="32"/>
        </w:rPr>
      </w:pPr>
      <w:r>
        <w:rPr>
          <w:rFonts w:hint="eastAsia" w:ascii="仿宋_GB2312" w:eastAsia="仿宋_GB2312"/>
          <w:sz w:val="32"/>
          <w:szCs w:val="32"/>
        </w:rPr>
        <w:t>房屋征收部门为丽水市莲都区土地和房屋征收工作指导中心</w:t>
      </w:r>
      <w:r>
        <w:rPr>
          <w:rFonts w:ascii="仿宋_GB2312" w:eastAsia="仿宋_GB2312"/>
          <w:sz w:val="32"/>
          <w:szCs w:val="32"/>
        </w:rPr>
        <w:t>,</w:t>
      </w:r>
      <w:r>
        <w:rPr>
          <w:rFonts w:hint="eastAsia" w:ascii="仿宋_GB2312" w:eastAsia="仿宋_GB2312"/>
          <w:sz w:val="32"/>
          <w:szCs w:val="32"/>
        </w:rPr>
        <w:t>房屋征收实施单位为丽水市莲都区</w:t>
      </w:r>
      <w:r>
        <w:rPr>
          <w:rFonts w:hint="eastAsia" w:ascii="仿宋_GB2312" w:eastAsia="仿宋_GB2312"/>
          <w:sz w:val="32"/>
          <w:szCs w:val="32"/>
          <w:lang w:eastAsia="zh-CN"/>
        </w:rPr>
        <w:t>岩泉街道办事处</w:t>
      </w:r>
      <w:r>
        <w:rPr>
          <w:rFonts w:hint="eastAsia" w:ascii="仿宋_GB2312" w:eastAsia="仿宋_GB2312"/>
          <w:sz w:val="32"/>
          <w:szCs w:val="32"/>
        </w:rPr>
        <w:t>。</w:t>
      </w:r>
    </w:p>
    <w:p>
      <w:pPr>
        <w:spacing w:line="560" w:lineRule="exact"/>
        <w:rPr>
          <w:rFonts w:ascii="仿宋_GB2312" w:eastAsia="仿宋_GB2312"/>
          <w:b/>
          <w:sz w:val="32"/>
          <w:szCs w:val="32"/>
        </w:rPr>
      </w:pPr>
      <w:r>
        <w:rPr>
          <w:rFonts w:hint="eastAsia" w:ascii="仿宋_GB2312" w:eastAsia="仿宋_GB2312"/>
          <w:sz w:val="32"/>
          <w:szCs w:val="32"/>
        </w:rPr>
        <w:t>　　</w:t>
      </w:r>
      <w:r>
        <w:rPr>
          <w:rFonts w:hint="eastAsia" w:ascii="仿宋_GB2312" w:eastAsia="仿宋_GB2312"/>
          <w:b/>
          <w:sz w:val="32"/>
          <w:szCs w:val="32"/>
        </w:rPr>
        <w:t>四、签约期限</w:t>
      </w:r>
      <w:r>
        <w:rPr>
          <w:rFonts w:ascii="仿宋_GB2312" w:eastAsia="仿宋_GB2312"/>
          <w:b/>
          <w:sz w:val="32"/>
          <w:szCs w:val="32"/>
        </w:rPr>
        <w:t xml:space="preserve"> </w:t>
      </w:r>
    </w:p>
    <w:p>
      <w:pPr>
        <w:spacing w:line="560" w:lineRule="exact"/>
        <w:ind w:left="160" w:leftChars="76" w:firstLine="480" w:firstLineChars="150"/>
        <w:rPr>
          <w:rFonts w:hint="eastAsia" w:ascii="仿宋_GB2312" w:eastAsia="仿宋_GB2312"/>
          <w:sz w:val="32"/>
          <w:szCs w:val="32"/>
        </w:rPr>
      </w:pPr>
      <w:r>
        <w:rPr>
          <w:rFonts w:hint="eastAsia" w:ascii="仿宋_GB2312" w:eastAsia="仿宋_GB2312"/>
          <w:sz w:val="32"/>
          <w:szCs w:val="32"/>
        </w:rPr>
        <w:t>　　签约时间：由房屋征收部门（实施单位）另行公告。</w:t>
      </w:r>
    </w:p>
    <w:p>
      <w:pPr>
        <w:spacing w:line="560" w:lineRule="exact"/>
        <w:rPr>
          <w:rFonts w:ascii="仿宋_GB2312" w:eastAsia="仿宋_GB2312"/>
          <w:b/>
          <w:sz w:val="32"/>
          <w:szCs w:val="32"/>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b/>
          <w:sz w:val="32"/>
          <w:szCs w:val="32"/>
        </w:rPr>
        <w:t>五、补偿方式</w:t>
      </w:r>
      <w:r>
        <w:rPr>
          <w:rFonts w:ascii="仿宋_GB2312" w:eastAsia="仿宋_GB2312"/>
          <w:b/>
          <w:sz w:val="32"/>
          <w:szCs w:val="32"/>
        </w:rPr>
        <w:t xml:space="preserve"> </w:t>
      </w:r>
    </w:p>
    <w:p>
      <w:pPr>
        <w:pStyle w:val="4"/>
        <w:spacing w:before="0" w:beforeAutospacing="0" w:after="0" w:afterAutospacing="0"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补偿方式采取货币补偿和产权调换两种补偿方式，安置方式由被征收人自行选择。</w:t>
      </w:r>
    </w:p>
    <w:p>
      <w:pPr>
        <w:spacing w:line="560" w:lineRule="exact"/>
        <w:rPr>
          <w:rFonts w:ascii="仿宋_GB2312" w:eastAsia="仿宋_GB2312"/>
          <w:b/>
          <w:sz w:val="32"/>
          <w:szCs w:val="32"/>
        </w:rPr>
      </w:pPr>
      <w:r>
        <w:rPr>
          <w:rFonts w:hint="eastAsia" w:ascii="仿宋_GB2312" w:eastAsia="仿宋_GB2312"/>
          <w:sz w:val="32"/>
          <w:szCs w:val="32"/>
        </w:rPr>
        <w:t>　　</w:t>
      </w:r>
      <w:r>
        <w:rPr>
          <w:rFonts w:hint="eastAsia" w:ascii="仿宋_GB2312" w:eastAsia="仿宋_GB2312"/>
          <w:b/>
          <w:sz w:val="32"/>
          <w:szCs w:val="32"/>
        </w:rPr>
        <w:t>六、补偿安置标准</w:t>
      </w:r>
      <w:r>
        <w:rPr>
          <w:rFonts w:ascii="仿宋_GB2312" w:eastAsia="仿宋_GB2312"/>
          <w:b/>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（一）货币补偿</w:t>
      </w:r>
      <w:r>
        <w:rPr>
          <w:rFonts w:ascii="仿宋_GB2312" w:eastAsia="仿宋_GB2312"/>
          <w:sz w:val="32"/>
          <w:szCs w:val="32"/>
        </w:rPr>
        <w:t xml:space="preserve"> </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被征收人选择货币补偿的，被征收房屋以房地产评估机构评估确定的价格进行补偿。奖励标准按照《丽水市市区房屋征收货币补偿奖励标准的批复》（丽政函〔</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33</w:t>
      </w:r>
      <w:r>
        <w:rPr>
          <w:rFonts w:hint="eastAsia" w:ascii="仿宋_GB2312" w:eastAsia="仿宋_GB2312"/>
          <w:sz w:val="32"/>
          <w:szCs w:val="32"/>
        </w:rPr>
        <w:t>号）执行，具体如下：</w:t>
      </w:r>
      <w:r>
        <w:rPr>
          <w:rFonts w:ascii="仿宋_GB2312" w:eastAsia="仿宋_GB2312"/>
          <w:sz w:val="32"/>
          <w:szCs w:val="32"/>
        </w:rPr>
        <w:t xml:space="preserve"> </w:t>
      </w:r>
    </w:p>
    <w:p>
      <w:pPr>
        <w:pStyle w:val="11"/>
        <w:spacing w:line="560" w:lineRule="exact"/>
        <w:ind w:firstLine="800" w:firstLineChars="250"/>
        <w:rPr>
          <w:rFonts w:ascii="仿宋_GB2312" w:eastAsia="仿宋_GB2312"/>
          <w:kern w:val="2"/>
          <w:sz w:val="32"/>
          <w:szCs w:val="32"/>
        </w:rPr>
      </w:pPr>
      <w:r>
        <w:rPr>
          <w:rFonts w:hint="eastAsia" w:ascii="仿宋_GB2312" w:eastAsia="仿宋_GB2312"/>
          <w:kern w:val="2"/>
          <w:sz w:val="32"/>
          <w:szCs w:val="32"/>
        </w:rPr>
        <w:t>被征收房屋法定用途为住宅或经改变用途认定后用途为住宅，被征收人选择货币补偿的，给予被征收人按被征收房屋市场评估价</w:t>
      </w:r>
      <w:r>
        <w:rPr>
          <w:rFonts w:ascii="仿宋_GB2312" w:eastAsia="仿宋_GB2312"/>
          <w:kern w:val="2"/>
          <w:sz w:val="32"/>
          <w:szCs w:val="32"/>
        </w:rPr>
        <w:t>30%</w:t>
      </w:r>
      <w:r>
        <w:rPr>
          <w:rFonts w:hint="eastAsia" w:ascii="仿宋_GB2312" w:eastAsia="仿宋_GB2312"/>
          <w:kern w:val="2"/>
          <w:sz w:val="32"/>
          <w:szCs w:val="32"/>
        </w:rPr>
        <w:t>的奖励（不包括装修、附属物等其他款项）。</w:t>
      </w:r>
      <w:r>
        <w:rPr>
          <w:rFonts w:ascii="仿宋_GB2312" w:eastAsia="仿宋_GB2312"/>
          <w:kern w:val="2"/>
          <w:sz w:val="32"/>
          <w:szCs w:val="32"/>
        </w:rPr>
        <w:t xml:space="preserve"> </w:t>
      </w:r>
    </w:p>
    <w:p>
      <w:pPr>
        <w:pStyle w:val="11"/>
        <w:spacing w:line="560" w:lineRule="exact"/>
        <w:ind w:firstLine="800" w:firstLineChars="250"/>
        <w:rPr>
          <w:rFonts w:ascii="仿宋_GB2312" w:eastAsia="仿宋_GB2312"/>
          <w:kern w:val="2"/>
          <w:sz w:val="32"/>
          <w:szCs w:val="32"/>
        </w:rPr>
      </w:pPr>
      <w:r>
        <w:rPr>
          <w:rFonts w:hint="eastAsia" w:ascii="仿宋_GB2312" w:eastAsia="仿宋_GB2312"/>
          <w:kern w:val="2"/>
          <w:sz w:val="32"/>
          <w:szCs w:val="32"/>
        </w:rPr>
        <w:t>被征收房屋用途为商业或办公，被征收人选择货币补偿的，给予被征收人按被征收房屋市场评估价</w:t>
      </w:r>
      <w:r>
        <w:rPr>
          <w:rFonts w:ascii="仿宋_GB2312" w:eastAsia="仿宋_GB2312"/>
          <w:kern w:val="2"/>
          <w:sz w:val="32"/>
          <w:szCs w:val="32"/>
        </w:rPr>
        <w:t>20%</w:t>
      </w:r>
      <w:r>
        <w:rPr>
          <w:rFonts w:hint="eastAsia" w:ascii="仿宋_GB2312" w:eastAsia="仿宋_GB2312"/>
          <w:kern w:val="2"/>
          <w:sz w:val="32"/>
          <w:szCs w:val="32"/>
        </w:rPr>
        <w:t>的奖励（不包括装修、附属物等其他款项）。</w:t>
      </w:r>
      <w:r>
        <w:rPr>
          <w:rFonts w:ascii="仿宋_GB2312" w:eastAsia="仿宋_GB2312"/>
          <w:kern w:val="2"/>
          <w:sz w:val="32"/>
          <w:szCs w:val="32"/>
        </w:rPr>
        <w:t xml:space="preserve"> </w:t>
      </w:r>
    </w:p>
    <w:p>
      <w:pPr>
        <w:pStyle w:val="11"/>
        <w:spacing w:line="560" w:lineRule="exact"/>
        <w:ind w:firstLine="800" w:firstLineChars="250"/>
        <w:rPr>
          <w:rFonts w:ascii="仿宋_GB2312" w:eastAsia="仿宋_GB2312"/>
          <w:kern w:val="2"/>
          <w:sz w:val="32"/>
          <w:szCs w:val="32"/>
        </w:rPr>
      </w:pPr>
      <w:r>
        <w:rPr>
          <w:rFonts w:hint="eastAsia" w:ascii="仿宋_GB2312" w:eastAsia="仿宋_GB2312"/>
          <w:kern w:val="2"/>
          <w:sz w:val="32"/>
          <w:szCs w:val="32"/>
        </w:rPr>
        <w:t>被征收房屋用途为工业生产用房，经改变用途认定后仍属工业生产用房，被征收人选择货币补偿的，给予被征收人按房屋重置价结合成新与土地评估价之和</w:t>
      </w:r>
      <w:r>
        <w:rPr>
          <w:rFonts w:ascii="仿宋_GB2312" w:eastAsia="仿宋_GB2312"/>
          <w:kern w:val="2"/>
          <w:sz w:val="32"/>
          <w:szCs w:val="32"/>
        </w:rPr>
        <w:t xml:space="preserve"> 30%</w:t>
      </w:r>
      <w:r>
        <w:rPr>
          <w:rFonts w:hint="eastAsia" w:ascii="仿宋_GB2312" w:eastAsia="仿宋_GB2312"/>
          <w:kern w:val="2"/>
          <w:sz w:val="32"/>
          <w:szCs w:val="32"/>
        </w:rPr>
        <w:t>的补贴（不包括装修、附属物等其他款项）。</w:t>
      </w:r>
      <w:r>
        <w:rPr>
          <w:rFonts w:ascii="仿宋_GB2312" w:eastAsia="仿宋_GB2312"/>
          <w:kern w:val="2"/>
          <w:sz w:val="32"/>
          <w:szCs w:val="32"/>
        </w:rPr>
        <w:t xml:space="preserve"> </w:t>
      </w:r>
    </w:p>
    <w:p>
      <w:pPr>
        <w:spacing w:line="560" w:lineRule="exact"/>
        <w:ind w:firstLine="645"/>
        <w:rPr>
          <w:rFonts w:ascii="仿宋_GB2312" w:eastAsia="仿宋_GB2312"/>
          <w:sz w:val="32"/>
          <w:szCs w:val="32"/>
        </w:rPr>
      </w:pPr>
      <w:r>
        <w:rPr>
          <w:rFonts w:hint="eastAsia" w:ascii="仿宋_GB2312" w:eastAsia="仿宋_GB2312"/>
          <w:sz w:val="32"/>
          <w:szCs w:val="32"/>
        </w:rPr>
        <w:t>（二）产权调换</w:t>
      </w:r>
      <w:r>
        <w:rPr>
          <w:rFonts w:ascii="仿宋_GB2312" w:eastAsia="仿宋_GB2312"/>
          <w:sz w:val="32"/>
          <w:szCs w:val="32"/>
        </w:rPr>
        <w:t xml:space="preserve"> </w:t>
      </w:r>
    </w:p>
    <w:p>
      <w:pPr>
        <w:spacing w:line="560" w:lineRule="exact"/>
        <w:ind w:firstLine="800" w:firstLineChars="25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住宅房屋选择产权调换的，安置地点为</w:t>
      </w:r>
      <w:r>
        <w:rPr>
          <w:rFonts w:hint="eastAsia" w:ascii="仿宋_GB2312" w:eastAsia="仿宋_GB2312"/>
          <w:color w:val="auto"/>
          <w:sz w:val="32"/>
          <w:szCs w:val="32"/>
          <w:lang w:eastAsia="zh-CN"/>
        </w:rPr>
        <w:t>丽东公寓</w:t>
      </w:r>
      <w:r>
        <w:rPr>
          <w:rFonts w:hint="eastAsia" w:ascii="仿宋_GB2312" w:eastAsia="仿宋_GB2312"/>
          <w:color w:val="auto"/>
          <w:sz w:val="32"/>
          <w:szCs w:val="32"/>
        </w:rPr>
        <w:t>（暂命名）。</w:t>
      </w:r>
      <w:r>
        <w:rPr>
          <w:rFonts w:ascii="仿宋_GB2312" w:eastAsia="仿宋_GB2312"/>
          <w:color w:val="auto"/>
          <w:sz w:val="32"/>
          <w:szCs w:val="32"/>
        </w:rPr>
        <w:t xml:space="preserve"> </w:t>
      </w:r>
      <w:bookmarkStart w:id="0" w:name="_GoBack"/>
      <w:bookmarkEnd w:id="0"/>
    </w:p>
    <w:p>
      <w:pPr>
        <w:ind w:firstLine="640"/>
        <w:rPr>
          <w:rFonts w:hint="eastAsia" w:ascii="仿宋_GB2312" w:eastAsia="仿宋_GB2312"/>
          <w:color w:val="auto"/>
          <w:sz w:val="32"/>
          <w:szCs w:val="32"/>
        </w:rPr>
      </w:pPr>
      <w:r>
        <w:rPr>
          <w:rFonts w:hint="eastAsia" w:ascii="仿宋_GB2312" w:eastAsia="仿宋_GB2312"/>
          <w:color w:val="auto"/>
          <w:sz w:val="32"/>
          <w:szCs w:val="32"/>
          <w:lang w:eastAsia="zh-CN"/>
        </w:rPr>
        <w:t>丽东</w:t>
      </w:r>
      <w:r>
        <w:rPr>
          <w:rFonts w:hint="eastAsia" w:ascii="仿宋_GB2312" w:eastAsia="仿宋_GB2312"/>
          <w:color w:val="auto"/>
          <w:sz w:val="32"/>
          <w:szCs w:val="32"/>
        </w:rPr>
        <w:t>公寓为小高层、高层建筑，其套型为</w:t>
      </w:r>
      <w:r>
        <w:rPr>
          <w:rFonts w:hint="eastAsia"/>
          <w:color w:val="auto"/>
          <w:sz w:val="32"/>
          <w:szCs w:val="32"/>
        </w:rPr>
        <w:t>：</w:t>
      </w:r>
      <w:r>
        <w:rPr>
          <w:rFonts w:hint="eastAsia" w:ascii="仿宋_GB2312" w:hAnsi="仿宋_GB2312" w:eastAsia="仿宋_GB2312" w:cs="仿宋_GB2312"/>
          <w:color w:val="auto"/>
          <w:sz w:val="32"/>
          <w:szCs w:val="32"/>
        </w:rPr>
        <w:t>60㎡、70㎡、80㎡、90㎡、100㎡、110㎡、120㎡、130㎡。</w:t>
      </w:r>
      <w:r>
        <w:rPr>
          <w:rFonts w:hint="eastAsia" w:ascii="仿宋_GB2312" w:eastAsia="仿宋_GB2312"/>
          <w:color w:val="auto"/>
          <w:sz w:val="32"/>
          <w:szCs w:val="32"/>
        </w:rPr>
        <w:t>（此为初步设计方案，最终以选房现场公布的房源清单为准）。</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异地产权调换的安置房为小高层或高层的，在被征收房屋面积基础上最多可增加</w:t>
      </w:r>
      <w:r>
        <w:rPr>
          <w:rFonts w:ascii="仿宋_GB2312" w:eastAsia="仿宋_GB2312"/>
          <w:color w:val="auto"/>
          <w:sz w:val="32"/>
          <w:szCs w:val="32"/>
        </w:rPr>
        <w:t xml:space="preserve"> 35 </w:t>
      </w:r>
      <w:r>
        <w:rPr>
          <w:rFonts w:hint="eastAsia" w:ascii="仿宋_GB2312" w:eastAsia="仿宋_GB2312"/>
          <w:color w:val="auto"/>
          <w:sz w:val="32"/>
          <w:szCs w:val="32"/>
        </w:rPr>
        <w:t>平方米或</w:t>
      </w:r>
      <w:r>
        <w:rPr>
          <w:rFonts w:ascii="仿宋_GB2312" w:eastAsia="仿宋_GB2312"/>
          <w:color w:val="auto"/>
          <w:sz w:val="32"/>
          <w:szCs w:val="32"/>
        </w:rPr>
        <w:t xml:space="preserve"> 35%</w:t>
      </w:r>
      <w:r>
        <w:rPr>
          <w:rFonts w:hint="eastAsia" w:ascii="仿宋_GB2312" w:eastAsia="仿宋_GB2312"/>
          <w:color w:val="auto"/>
          <w:sz w:val="32"/>
          <w:szCs w:val="32"/>
        </w:rPr>
        <w:t>的安置面积，即在被征收住宅房屋面积加上</w:t>
      </w:r>
      <w:r>
        <w:rPr>
          <w:rFonts w:ascii="仿宋_GB2312" w:eastAsia="仿宋_GB2312"/>
          <w:color w:val="auto"/>
          <w:sz w:val="32"/>
          <w:szCs w:val="32"/>
        </w:rPr>
        <w:t>35</w:t>
      </w:r>
      <w:r>
        <w:rPr>
          <w:rFonts w:hint="eastAsia" w:ascii="仿宋_GB2312" w:eastAsia="仿宋_GB2312"/>
          <w:color w:val="auto"/>
          <w:sz w:val="32"/>
          <w:szCs w:val="32"/>
        </w:rPr>
        <w:t>平方米或</w:t>
      </w:r>
      <w:r>
        <w:rPr>
          <w:rFonts w:ascii="仿宋_GB2312" w:eastAsia="仿宋_GB2312"/>
          <w:color w:val="auto"/>
          <w:sz w:val="32"/>
          <w:szCs w:val="32"/>
        </w:rPr>
        <w:t>35%</w:t>
      </w:r>
      <w:r>
        <w:rPr>
          <w:rFonts w:hint="eastAsia" w:ascii="仿宋_GB2312" w:eastAsia="仿宋_GB2312"/>
          <w:color w:val="auto"/>
          <w:sz w:val="32"/>
          <w:szCs w:val="32"/>
        </w:rPr>
        <w:t>的安置面积以内选择相应套型的安置房。</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产权调换结算原则</w:t>
      </w:r>
      <w:r>
        <w:rPr>
          <w:rFonts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住宅房屋和安置用房（包括增加的安置面积）分别按评估价格计算并结算差价，多还少补；高层、小高层安置的，其安置房公摊面积部分的</w:t>
      </w:r>
      <w:r>
        <w:rPr>
          <w:rFonts w:ascii="仿宋_GB2312" w:eastAsia="仿宋_GB2312"/>
          <w:sz w:val="32"/>
          <w:szCs w:val="32"/>
        </w:rPr>
        <w:t>60%</w:t>
      </w:r>
      <w:r>
        <w:rPr>
          <w:rFonts w:hint="eastAsia" w:ascii="仿宋_GB2312" w:eastAsia="仿宋_GB2312"/>
          <w:sz w:val="32"/>
          <w:szCs w:val="32"/>
        </w:rPr>
        <w:t>为政策赠送（即无偿供给）。</w:t>
      </w:r>
    </w:p>
    <w:p>
      <w:pPr>
        <w:spacing w:line="56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交房时间</w:t>
      </w:r>
      <w:r>
        <w:rPr>
          <w:rFonts w:ascii="仿宋_GB2312" w:eastAsia="仿宋_GB2312"/>
          <w:sz w:val="32"/>
          <w:szCs w:val="32"/>
        </w:rPr>
        <w:t xml:space="preserve"> </w:t>
      </w:r>
    </w:p>
    <w:p>
      <w:pPr>
        <w:spacing w:line="560" w:lineRule="exact"/>
        <w:rPr>
          <w:rFonts w:hint="eastAsia" w:ascii="仿宋_GB2312" w:eastAsia="仿宋_GB2312"/>
          <w:color w:val="FF0000"/>
          <w:sz w:val="32"/>
          <w:szCs w:val="32"/>
          <w:lang w:eastAsia="zh-CN"/>
        </w:rPr>
      </w:pPr>
      <w:r>
        <w:rPr>
          <w:rFonts w:hint="eastAsia" w:ascii="仿宋_GB2312" w:eastAsia="仿宋_GB2312"/>
          <w:sz w:val="32"/>
          <w:szCs w:val="32"/>
        </w:rPr>
        <w:t>　</w:t>
      </w:r>
      <w:r>
        <w:rPr>
          <w:rFonts w:ascii="仿宋_GB2312" w:eastAsia="仿宋_GB2312"/>
          <w:color w:val="FF0000"/>
          <w:sz w:val="32"/>
          <w:szCs w:val="32"/>
        </w:rPr>
        <w:t xml:space="preserve">  </w:t>
      </w:r>
      <w:r>
        <w:rPr>
          <w:rFonts w:hint="eastAsia" w:ascii="仿宋_GB2312" w:eastAsia="仿宋_GB2312"/>
          <w:color w:val="000000" w:themeColor="text1"/>
          <w:sz w:val="32"/>
          <w:szCs w:val="32"/>
          <w:lang w:eastAsia="zh-CN"/>
        </w:rPr>
        <w:t>丽东公寓</w:t>
      </w:r>
      <w:r>
        <w:rPr>
          <w:rFonts w:hint="eastAsia" w:ascii="仿宋_GB2312" w:eastAsia="仿宋_GB2312"/>
          <w:color w:val="000000" w:themeColor="text1"/>
          <w:sz w:val="32"/>
          <w:szCs w:val="32"/>
        </w:rPr>
        <w:t>交房时间为</w:t>
      </w:r>
      <w:r>
        <w:rPr>
          <w:rFonts w:hint="eastAsia" w:ascii="仿宋_GB2312" w:eastAsia="仿宋_GB2312"/>
          <w:color w:val="000000" w:themeColor="text1"/>
          <w:sz w:val="32"/>
          <w:szCs w:val="32"/>
          <w:lang w:eastAsia="zh-CN"/>
        </w:rPr>
        <w:t>两</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eastAsia="zh-CN"/>
        </w:rPr>
        <w:t>。</w:t>
      </w:r>
    </w:p>
    <w:p>
      <w:pPr>
        <w:spacing w:line="560" w:lineRule="exact"/>
        <w:rPr>
          <w:rFonts w:ascii="仿宋_GB2312" w:eastAsia="仿宋_GB2312"/>
          <w:b/>
          <w:sz w:val="32"/>
          <w:szCs w:val="32"/>
        </w:rPr>
      </w:pPr>
      <w:r>
        <w:rPr>
          <w:rFonts w:ascii="仿宋_GB2312" w:eastAsia="仿宋_GB2312"/>
          <w:sz w:val="32"/>
          <w:szCs w:val="32"/>
        </w:rPr>
        <w:t xml:space="preserve">    </w:t>
      </w:r>
      <w:r>
        <w:rPr>
          <w:rFonts w:hint="eastAsia" w:ascii="仿宋_GB2312" w:eastAsia="仿宋_GB2312"/>
          <w:b/>
          <w:sz w:val="32"/>
          <w:szCs w:val="32"/>
        </w:rPr>
        <w:t>七、评估公司选择办法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房地产价格评估机构由被征收人协商选定；房屋征收决定公告后十日内仍不能选定的，由房屋征收部门组织被征收人按照少数服从多数的原则投票确定，或者采取摇号、抽签等方式随机确定。</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八、补偿面积的确定</w:t>
      </w:r>
      <w:r>
        <w:rPr>
          <w:rFonts w:ascii="仿宋_GB2312" w:eastAsia="仿宋_GB2312"/>
          <w:b/>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征收房屋的补偿面积按照房屋所有权证证载面积、有合法产权来源依据的面积、相关部门认定的合法面积（包括房屋监测认定小组认定的建筑面积、执法部门处罚决定和有关部门同意确权并经执法部门处罚的建筑面积）来确定。</w:t>
      </w:r>
      <w:r>
        <w:rPr>
          <w:rFonts w:ascii="仿宋_GB2312" w:eastAsia="仿宋_GB2312"/>
          <w:sz w:val="32"/>
          <w:szCs w:val="32"/>
        </w:rPr>
        <w:t xml:space="preserve"> </w:t>
      </w:r>
    </w:p>
    <w:p>
      <w:pPr>
        <w:spacing w:line="560" w:lineRule="exact"/>
        <w:ind w:firstLine="803" w:firstLineChars="250"/>
        <w:rPr>
          <w:rFonts w:ascii="仿宋_GB2312" w:eastAsia="仿宋_GB2312"/>
          <w:b/>
          <w:sz w:val="32"/>
          <w:szCs w:val="32"/>
        </w:rPr>
      </w:pPr>
      <w:r>
        <w:rPr>
          <w:rFonts w:hint="eastAsia" w:ascii="仿宋_GB2312" w:eastAsia="仿宋_GB2312"/>
          <w:b/>
          <w:sz w:val="32"/>
          <w:szCs w:val="32"/>
        </w:rPr>
        <w:t>九、征收补助费和其他补偿费用</w:t>
      </w:r>
      <w:r>
        <w:rPr>
          <w:rFonts w:ascii="仿宋_GB2312" w:eastAsia="仿宋_GB2312"/>
          <w:b/>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（一）过渡方式原则上由被征收人自行落实临时周转用房，征收部门支付给被征收人临时安置补助费。</w:t>
      </w:r>
      <w:r>
        <w:rPr>
          <w:rFonts w:ascii="仿宋_GB2312" w:eastAsia="仿宋_GB2312"/>
          <w:sz w:val="32"/>
          <w:szCs w:val="32"/>
        </w:rPr>
        <w:t xml:space="preserve"> </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（二）临时安置补助费、搬家补助费、装修补偿、附属建筑物及其它设施等补偿费按照（丽政发〔</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号）和《关于公布丽水市市区房屋征收重置价格等相关补偿标准的通知》（丽征指〔</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号）文件执行，具体如下：</w:t>
      </w:r>
    </w:p>
    <w:p>
      <w:pPr>
        <w:widowControl/>
        <w:spacing w:line="560" w:lineRule="exact"/>
        <w:ind w:firstLine="790" w:firstLineChars="246"/>
        <w:rPr>
          <w:rFonts w:hint="eastAsia" w:ascii="宋体" w:hAnsi="宋体" w:cs="宋体"/>
          <w:b/>
          <w:bCs/>
          <w:kern w:val="0"/>
          <w:sz w:val="24"/>
          <w:lang w:eastAsia="zh-CN"/>
        </w:rPr>
      </w:pPr>
      <w:r>
        <w:rPr>
          <w:rFonts w:ascii="仿宋_GB2312" w:eastAsia="仿宋_GB2312"/>
          <w:b/>
          <w:sz w:val="32"/>
          <w:szCs w:val="32"/>
        </w:rPr>
        <w:t>1.</w:t>
      </w:r>
      <w:r>
        <w:rPr>
          <w:rFonts w:hint="eastAsia" w:ascii="仿宋_GB2312" w:eastAsia="仿宋_GB2312"/>
          <w:b/>
          <w:sz w:val="32"/>
          <w:szCs w:val="32"/>
        </w:rPr>
        <w:t>临时安置补助费标准</w:t>
      </w:r>
    </w:p>
    <w:p>
      <w:pPr>
        <w:widowControl/>
        <w:spacing w:line="420" w:lineRule="atLeast"/>
        <w:ind w:firstLine="1446" w:firstLineChars="600"/>
        <w:jc w:val="both"/>
        <w:rPr>
          <w:rFonts w:hint="eastAsia" w:ascii="宋体" w:hAnsi="宋体" w:cs="宋体"/>
          <w:b/>
          <w:bCs/>
          <w:kern w:val="0"/>
          <w:sz w:val="24"/>
        </w:rPr>
      </w:pPr>
      <w:r>
        <w:rPr>
          <w:rFonts w:hint="eastAsia" w:ascii="宋体" w:hAnsi="宋体" w:cs="宋体"/>
          <w:b/>
          <w:bCs/>
          <w:kern w:val="0"/>
          <w:sz w:val="24"/>
          <w:lang w:eastAsia="zh-CN"/>
        </w:rPr>
        <w:t>花园路中段东侧支路</w:t>
      </w:r>
      <w:r>
        <w:rPr>
          <w:rFonts w:hint="eastAsia" w:ascii="宋体" w:hAnsi="宋体" w:cs="宋体"/>
          <w:b/>
          <w:bCs/>
          <w:kern w:val="0"/>
          <w:sz w:val="24"/>
        </w:rPr>
        <w:t>项目临时安置补助费标准</w:t>
      </w:r>
    </w:p>
    <w:tbl>
      <w:tblPr>
        <w:tblStyle w:val="5"/>
        <w:tblW w:w="7740" w:type="dxa"/>
        <w:tblInd w:w="330" w:type="dxa"/>
        <w:tblLayout w:type="autofit"/>
        <w:tblCellMar>
          <w:top w:w="0" w:type="dxa"/>
          <w:left w:w="0" w:type="dxa"/>
          <w:bottom w:w="0" w:type="dxa"/>
          <w:right w:w="0" w:type="dxa"/>
        </w:tblCellMar>
      </w:tblPr>
      <w:tblGrid>
        <w:gridCol w:w="1260"/>
        <w:gridCol w:w="1080"/>
        <w:gridCol w:w="1620"/>
        <w:gridCol w:w="1800"/>
        <w:gridCol w:w="1980"/>
      </w:tblGrid>
      <w:tr>
        <w:tblPrEx>
          <w:tblCellMar>
            <w:top w:w="0" w:type="dxa"/>
            <w:left w:w="0" w:type="dxa"/>
            <w:bottom w:w="0" w:type="dxa"/>
            <w:right w:w="0" w:type="dxa"/>
          </w:tblCellMar>
        </w:tblPrEx>
        <w:trPr>
          <w:trHeight w:val="487" w:hRule="atLeast"/>
        </w:trPr>
        <w:tc>
          <w:tcPr>
            <w:tcW w:w="1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安置方式</w:t>
            </w: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类别</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计量单位</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left"/>
              <w:rPr>
                <w:rFonts w:ascii="宋体" w:cs="宋体"/>
                <w:kern w:val="0"/>
                <w:sz w:val="24"/>
              </w:rPr>
            </w:pPr>
            <w:r>
              <w:rPr>
                <w:rFonts w:hint="eastAsia" w:ascii="宋体" w:hAnsi="宋体" w:cs="宋体"/>
                <w:kern w:val="0"/>
                <w:sz w:val="23"/>
                <w:szCs w:val="23"/>
              </w:rPr>
              <w:t>单价</w:t>
            </w:r>
            <w:r>
              <w:rPr>
                <w:rFonts w:hint="eastAsia" w:ascii="宋体" w:hAnsi="宋体" w:cs="宋体"/>
                <w:kern w:val="0"/>
                <w:sz w:val="18"/>
                <w:szCs w:val="18"/>
              </w:rPr>
              <w:t>（元</w:t>
            </w:r>
            <w:r>
              <w:rPr>
                <w:rFonts w:ascii="宋体" w:hAnsi="宋体" w:cs="宋体"/>
                <w:kern w:val="0"/>
                <w:sz w:val="18"/>
                <w:szCs w:val="18"/>
              </w:rPr>
              <w:t>/</w:t>
            </w:r>
            <w:r>
              <w:rPr>
                <w:rFonts w:hint="eastAsia" w:ascii="宋体" w:hAnsi="宋体" w:cs="宋体"/>
                <w:kern w:val="0"/>
                <w:sz w:val="18"/>
                <w:szCs w:val="18"/>
              </w:rPr>
              <w:t>月）</w:t>
            </w:r>
          </w:p>
        </w:tc>
        <w:tc>
          <w:tcPr>
            <w:tcW w:w="19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补助时间</w:t>
            </w:r>
          </w:p>
        </w:tc>
      </w:tr>
      <w:tr>
        <w:tblPrEx>
          <w:tblCellMar>
            <w:top w:w="0" w:type="dxa"/>
            <w:left w:w="0" w:type="dxa"/>
            <w:bottom w:w="0" w:type="dxa"/>
            <w:right w:w="0" w:type="dxa"/>
          </w:tblCellMar>
        </w:tblPrEx>
        <w:tc>
          <w:tcPr>
            <w:tcW w:w="1260" w:type="dxa"/>
            <w:vMerge w:val="restart"/>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货币</w:t>
            </w:r>
            <w:r>
              <w:rPr>
                <w:rFonts w:ascii="宋体" w:cs="宋体"/>
                <w:kern w:val="0"/>
                <w:sz w:val="23"/>
                <w:szCs w:val="23"/>
              </w:rPr>
              <w:br w:type="textWrapping"/>
            </w:r>
            <w:r>
              <w:rPr>
                <w:rFonts w:hint="eastAsia" w:ascii="宋体" w:hAnsi="宋体" w:cs="宋体"/>
                <w:kern w:val="0"/>
                <w:sz w:val="23"/>
                <w:szCs w:val="23"/>
              </w:rPr>
              <w:t>安置</w:t>
            </w: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住宅</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平方米</w:t>
            </w:r>
            <w:r>
              <w:rPr>
                <w:rFonts w:ascii="宋体" w:cs="宋体"/>
                <w:kern w:val="0"/>
                <w:sz w:val="23"/>
                <w:szCs w:val="23"/>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9</w:t>
            </w:r>
          </w:p>
        </w:tc>
        <w:tc>
          <w:tcPr>
            <w:tcW w:w="19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ascii="宋体" w:hAnsi="宋体" w:cs="宋体"/>
                <w:kern w:val="0"/>
                <w:sz w:val="23"/>
                <w:szCs w:val="23"/>
              </w:rPr>
              <w:t>6</w:t>
            </w:r>
            <w:r>
              <w:rPr>
                <w:rFonts w:hint="eastAsia" w:ascii="宋体" w:hAnsi="宋体" w:cs="宋体"/>
                <w:kern w:val="0"/>
                <w:sz w:val="23"/>
                <w:szCs w:val="23"/>
              </w:rPr>
              <w:t>个月</w:t>
            </w:r>
            <w:r>
              <w:rPr>
                <w:rFonts w:ascii="宋体" w:cs="宋体"/>
                <w:kern w:val="0"/>
                <w:sz w:val="23"/>
                <w:szCs w:val="23"/>
              </w:rPr>
              <w:t> </w:t>
            </w:r>
          </w:p>
        </w:tc>
      </w:tr>
      <w:tr>
        <w:tblPrEx>
          <w:tblCellMar>
            <w:top w:w="0" w:type="dxa"/>
            <w:left w:w="0" w:type="dxa"/>
            <w:bottom w:w="0" w:type="dxa"/>
            <w:right w:w="0" w:type="dxa"/>
          </w:tblCellMar>
        </w:tblPrEx>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厂房</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平方米</w:t>
            </w:r>
            <w:r>
              <w:rPr>
                <w:rFonts w:ascii="宋体" w:cs="宋体"/>
                <w:kern w:val="0"/>
                <w:sz w:val="23"/>
                <w:szCs w:val="23"/>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5</w:t>
            </w:r>
          </w:p>
        </w:tc>
        <w:tc>
          <w:tcPr>
            <w:tcW w:w="19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ascii="宋体" w:hAnsi="宋体" w:cs="宋体"/>
                <w:kern w:val="0"/>
                <w:sz w:val="23"/>
                <w:szCs w:val="23"/>
              </w:rPr>
              <w:t>6</w:t>
            </w:r>
            <w:r>
              <w:rPr>
                <w:rFonts w:hint="eastAsia" w:ascii="宋体" w:hAnsi="宋体" w:cs="宋体"/>
                <w:kern w:val="0"/>
                <w:sz w:val="23"/>
                <w:szCs w:val="23"/>
              </w:rPr>
              <w:t>个月</w:t>
            </w:r>
            <w:r>
              <w:rPr>
                <w:rFonts w:ascii="宋体" w:cs="宋体"/>
                <w:kern w:val="0"/>
                <w:sz w:val="23"/>
                <w:szCs w:val="23"/>
              </w:rPr>
              <w:t> </w:t>
            </w:r>
          </w:p>
        </w:tc>
      </w:tr>
      <w:tr>
        <w:tblPrEx>
          <w:tblCellMar>
            <w:top w:w="0" w:type="dxa"/>
            <w:left w:w="0" w:type="dxa"/>
            <w:bottom w:w="0" w:type="dxa"/>
            <w:right w:w="0" w:type="dxa"/>
          </w:tblCellMar>
        </w:tblPrEx>
        <w:trPr>
          <w:trHeight w:val="20" w:hRule="atLeast"/>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办公</w:t>
            </w:r>
            <w:r>
              <w:rPr>
                <w:rFonts w:ascii="宋体" w:cs="宋体"/>
                <w:kern w:val="0"/>
                <w:sz w:val="23"/>
                <w:szCs w:val="23"/>
              </w:rPr>
              <w:t> </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平方米</w:t>
            </w:r>
            <w:r>
              <w:rPr>
                <w:rFonts w:ascii="宋体" w:cs="宋体"/>
                <w:kern w:val="0"/>
                <w:sz w:val="23"/>
                <w:szCs w:val="23"/>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9</w:t>
            </w:r>
          </w:p>
        </w:tc>
        <w:tc>
          <w:tcPr>
            <w:tcW w:w="19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ascii="宋体" w:hAnsi="宋体" w:cs="宋体"/>
                <w:kern w:val="0"/>
                <w:sz w:val="23"/>
                <w:szCs w:val="23"/>
              </w:rPr>
              <w:t>6</w:t>
            </w:r>
            <w:r>
              <w:rPr>
                <w:rFonts w:hint="eastAsia" w:ascii="宋体" w:hAnsi="宋体" w:cs="宋体"/>
                <w:kern w:val="0"/>
                <w:sz w:val="23"/>
                <w:szCs w:val="23"/>
              </w:rPr>
              <w:t>个月</w:t>
            </w:r>
            <w:r>
              <w:rPr>
                <w:rFonts w:ascii="宋体" w:cs="宋体"/>
                <w:kern w:val="0"/>
                <w:sz w:val="23"/>
                <w:szCs w:val="23"/>
              </w:rPr>
              <w:t> </w:t>
            </w:r>
          </w:p>
        </w:tc>
      </w:tr>
      <w:tr>
        <w:tblPrEx>
          <w:tblCellMar>
            <w:top w:w="0" w:type="dxa"/>
            <w:left w:w="0" w:type="dxa"/>
            <w:bottom w:w="0" w:type="dxa"/>
            <w:right w:w="0" w:type="dxa"/>
          </w:tblCellMar>
        </w:tblPrEx>
        <w:tc>
          <w:tcPr>
            <w:tcW w:w="1260" w:type="dxa"/>
            <w:vMerge w:val="restart"/>
            <w:tcBorders>
              <w:top w:val="single" w:color="auto" w:sz="4" w:space="0"/>
              <w:left w:val="single" w:color="auto" w:sz="4" w:space="0"/>
              <w:bottom w:val="single" w:color="DDDDDD" w:sz="6"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产权</w:t>
            </w:r>
            <w:r>
              <w:rPr>
                <w:rFonts w:ascii="宋体" w:cs="宋体"/>
                <w:kern w:val="0"/>
                <w:sz w:val="23"/>
                <w:szCs w:val="23"/>
              </w:rPr>
              <w:br w:type="textWrapping"/>
            </w:r>
            <w:r>
              <w:rPr>
                <w:rFonts w:hint="eastAsia" w:ascii="宋体" w:hAnsi="宋体" w:cs="宋体"/>
                <w:kern w:val="0"/>
                <w:sz w:val="23"/>
                <w:szCs w:val="23"/>
              </w:rPr>
              <w:t>调换</w:t>
            </w: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住宅</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平方米</w:t>
            </w:r>
            <w:r>
              <w:rPr>
                <w:rFonts w:ascii="宋体" w:cs="宋体"/>
                <w:kern w:val="0"/>
                <w:sz w:val="23"/>
                <w:szCs w:val="23"/>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9</w:t>
            </w:r>
          </w:p>
        </w:tc>
        <w:tc>
          <w:tcPr>
            <w:tcW w:w="1980" w:type="dxa"/>
            <w:vMerge w:val="restart"/>
            <w:tcBorders>
              <w:top w:val="single" w:color="auto" w:sz="4" w:space="0"/>
              <w:left w:val="single" w:color="auto" w:sz="4" w:space="0"/>
              <w:bottom w:val="single" w:color="DDDDDD" w:sz="6" w:space="0"/>
              <w:right w:val="single" w:color="auto" w:sz="4" w:space="0"/>
            </w:tcBorders>
            <w:tcMar>
              <w:top w:w="75" w:type="dxa"/>
              <w:left w:w="150" w:type="dxa"/>
              <w:bottom w:w="75" w:type="dxa"/>
              <w:right w:w="150" w:type="dxa"/>
            </w:tcMar>
          </w:tcPr>
          <w:p>
            <w:pPr>
              <w:widowControl/>
              <w:wordWrap w:val="0"/>
              <w:ind w:firstLine="230" w:firstLineChars="100"/>
              <w:jc w:val="left"/>
              <w:rPr>
                <w:rFonts w:ascii="宋体" w:cs="宋体"/>
                <w:kern w:val="0"/>
                <w:sz w:val="24"/>
              </w:rPr>
            </w:pPr>
            <w:r>
              <w:rPr>
                <w:rFonts w:hint="eastAsia" w:ascii="宋体" w:hAnsi="宋体" w:cs="宋体"/>
                <w:kern w:val="0"/>
                <w:sz w:val="23"/>
                <w:szCs w:val="23"/>
              </w:rPr>
              <w:t>按征收补偿安置协议约定的时间</w:t>
            </w:r>
          </w:p>
        </w:tc>
      </w:tr>
      <w:tr>
        <w:tblPrEx>
          <w:tblCellMar>
            <w:top w:w="0" w:type="dxa"/>
            <w:left w:w="0" w:type="dxa"/>
            <w:bottom w:w="0" w:type="dxa"/>
            <w:right w:w="0" w:type="dxa"/>
          </w:tblCellMar>
        </w:tblPrEx>
        <w:tc>
          <w:tcPr>
            <w:tcW w:w="1260" w:type="dxa"/>
            <w:vMerge w:val="continue"/>
            <w:tcBorders>
              <w:top w:val="single" w:color="DDDDDD" w:sz="6" w:space="0"/>
              <w:left w:val="single" w:color="auto" w:sz="4" w:space="0"/>
              <w:bottom w:val="single" w:color="DDDDDD" w:sz="6" w:space="0"/>
              <w:right w:val="single" w:color="auto" w:sz="4" w:space="0"/>
            </w:tcBorders>
            <w:vAlign w:val="center"/>
          </w:tcPr>
          <w:p>
            <w:pPr>
              <w:widowControl/>
              <w:jc w:val="left"/>
              <w:rPr>
                <w:rFonts w:asci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4"/>
              </w:rPr>
              <w:t>厂房</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4"/>
              </w:rPr>
              <w:t>平方米</w:t>
            </w:r>
            <w:r>
              <w:rPr>
                <w:rFonts w:ascii="宋体" w:cs="宋体"/>
                <w:kern w:val="0"/>
                <w:sz w:val="24"/>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5</w:t>
            </w:r>
          </w:p>
        </w:tc>
        <w:tc>
          <w:tcPr>
            <w:tcW w:w="1980" w:type="dxa"/>
            <w:vMerge w:val="continue"/>
            <w:tcBorders>
              <w:top w:val="single" w:color="DDDDDD" w:sz="6" w:space="0"/>
              <w:left w:val="single" w:color="auto" w:sz="4" w:space="0"/>
              <w:bottom w:val="single" w:color="DDDDDD" w:sz="6" w:space="0"/>
              <w:right w:val="single" w:color="auto" w:sz="4" w:space="0"/>
            </w:tcBorders>
            <w:vAlign w:val="center"/>
          </w:tcPr>
          <w:p>
            <w:pPr>
              <w:widowControl/>
              <w:jc w:val="left"/>
              <w:rPr>
                <w:rFonts w:ascii="宋体" w:cs="宋体"/>
                <w:kern w:val="0"/>
                <w:sz w:val="24"/>
              </w:rPr>
            </w:pPr>
          </w:p>
        </w:tc>
      </w:tr>
      <w:tr>
        <w:tblPrEx>
          <w:tblCellMar>
            <w:top w:w="0" w:type="dxa"/>
            <w:left w:w="0" w:type="dxa"/>
            <w:bottom w:w="0" w:type="dxa"/>
            <w:right w:w="0" w:type="dxa"/>
          </w:tblCellMar>
        </w:tblPrEx>
        <w:tc>
          <w:tcPr>
            <w:tcW w:w="1260" w:type="dxa"/>
            <w:vMerge w:val="continue"/>
            <w:tcBorders>
              <w:top w:val="single" w:color="DDDDDD" w:sz="6"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4"/>
              </w:rPr>
              <w:t>办公</w:t>
            </w:r>
            <w:r>
              <w:rPr>
                <w:rFonts w:ascii="宋体" w:cs="宋体"/>
                <w:kern w:val="0"/>
                <w:sz w:val="24"/>
              </w:rPr>
              <w:t> </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4"/>
              </w:rPr>
              <w:t>平方米</w:t>
            </w:r>
            <w:r>
              <w:rPr>
                <w:rFonts w:ascii="宋体" w:cs="宋体"/>
                <w:kern w:val="0"/>
                <w:sz w:val="24"/>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9</w:t>
            </w:r>
          </w:p>
        </w:tc>
        <w:tc>
          <w:tcPr>
            <w:tcW w:w="1980" w:type="dxa"/>
            <w:vMerge w:val="continue"/>
            <w:tcBorders>
              <w:top w:val="single" w:color="DDDDDD" w:sz="6"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bl>
    <w:p>
      <w:pPr>
        <w:widowControl/>
        <w:shd w:val="clear" w:color="auto" w:fill="FFFFFF"/>
        <w:spacing w:line="408" w:lineRule="atLeast"/>
        <w:ind w:firstLine="48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搬迁费标准</w:t>
      </w:r>
    </w:p>
    <w:tbl>
      <w:tblPr>
        <w:tblStyle w:val="5"/>
        <w:tblW w:w="0" w:type="auto"/>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6"/>
        <w:gridCol w:w="1994"/>
        <w:gridCol w:w="19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trPr>
        <w:tc>
          <w:tcPr>
            <w:tcW w:w="1786" w:type="dxa"/>
            <w:shd w:val="clear" w:color="auto" w:fill="FFFFFF"/>
            <w:tcMar>
              <w:top w:w="75" w:type="dxa"/>
              <w:left w:w="150" w:type="dxa"/>
              <w:bottom w:w="75" w:type="dxa"/>
              <w:right w:w="150" w:type="dxa"/>
            </w:tcMar>
          </w:tcPr>
          <w:p>
            <w:pPr>
              <w:widowControl/>
              <w:wordWrap w:val="0"/>
              <w:spacing w:line="408" w:lineRule="atLeast"/>
              <w:jc w:val="center"/>
              <w:rPr>
                <w:rFonts w:ascii="宋体" w:cs="宋体"/>
                <w:kern w:val="0"/>
                <w:sz w:val="23"/>
                <w:szCs w:val="23"/>
              </w:rPr>
            </w:pPr>
            <w:r>
              <w:rPr>
                <w:rFonts w:hint="eastAsia" w:ascii="宋体" w:hAnsi="宋体" w:cs="宋体"/>
                <w:kern w:val="0"/>
                <w:sz w:val="23"/>
                <w:szCs w:val="23"/>
              </w:rPr>
              <w:t>类别</w:t>
            </w:r>
          </w:p>
        </w:tc>
        <w:tc>
          <w:tcPr>
            <w:tcW w:w="1994" w:type="dxa"/>
            <w:shd w:val="clear" w:color="auto" w:fill="FFFFFF"/>
            <w:tcMar>
              <w:top w:w="75" w:type="dxa"/>
              <w:left w:w="150" w:type="dxa"/>
              <w:bottom w:w="75" w:type="dxa"/>
              <w:right w:w="150" w:type="dxa"/>
            </w:tcMar>
          </w:tcPr>
          <w:p>
            <w:pPr>
              <w:widowControl/>
              <w:wordWrap w:val="0"/>
              <w:spacing w:line="408" w:lineRule="atLeast"/>
              <w:jc w:val="center"/>
              <w:rPr>
                <w:rFonts w:ascii="宋体" w:cs="宋体"/>
                <w:kern w:val="0"/>
                <w:sz w:val="23"/>
                <w:szCs w:val="23"/>
              </w:rPr>
            </w:pPr>
            <w:r>
              <w:rPr>
                <w:rFonts w:hint="eastAsia" w:ascii="宋体" w:hAnsi="宋体" w:cs="宋体"/>
                <w:kern w:val="0"/>
                <w:sz w:val="23"/>
                <w:szCs w:val="23"/>
              </w:rPr>
              <w:t>计量单位</w:t>
            </w:r>
          </w:p>
        </w:tc>
        <w:tc>
          <w:tcPr>
            <w:tcW w:w="1980" w:type="dxa"/>
            <w:shd w:val="clear" w:color="auto" w:fill="FFFFFF"/>
            <w:tcMar>
              <w:top w:w="75" w:type="dxa"/>
              <w:left w:w="150" w:type="dxa"/>
              <w:bottom w:w="75" w:type="dxa"/>
              <w:right w:w="150" w:type="dxa"/>
            </w:tcMar>
          </w:tcPr>
          <w:p>
            <w:pPr>
              <w:widowControl/>
              <w:wordWrap w:val="0"/>
              <w:spacing w:line="408" w:lineRule="atLeast"/>
              <w:jc w:val="center"/>
              <w:rPr>
                <w:rFonts w:ascii="宋体" w:cs="宋体"/>
                <w:kern w:val="0"/>
                <w:sz w:val="23"/>
                <w:szCs w:val="23"/>
              </w:rPr>
            </w:pPr>
            <w:r>
              <w:rPr>
                <w:rFonts w:hint="eastAsia" w:ascii="宋体" w:hAnsi="宋体" w:cs="宋体"/>
                <w:kern w:val="0"/>
                <w:sz w:val="23"/>
                <w:szCs w:val="23"/>
              </w:rPr>
              <w:t>单价（元）</w:t>
            </w:r>
          </w:p>
        </w:tc>
        <w:tc>
          <w:tcPr>
            <w:tcW w:w="1800" w:type="dxa"/>
            <w:shd w:val="clear" w:color="auto" w:fill="FFFFFF"/>
            <w:tcMar>
              <w:top w:w="75" w:type="dxa"/>
              <w:left w:w="150" w:type="dxa"/>
              <w:bottom w:w="75" w:type="dxa"/>
              <w:right w:w="150" w:type="dxa"/>
            </w:tcMar>
          </w:tcPr>
          <w:p>
            <w:pPr>
              <w:widowControl/>
              <w:wordWrap w:val="0"/>
              <w:spacing w:line="408" w:lineRule="atLeast"/>
              <w:jc w:val="center"/>
              <w:rPr>
                <w:rFonts w:ascii="宋体" w:cs="宋体"/>
                <w:kern w:val="0"/>
                <w:sz w:val="23"/>
                <w:szCs w:val="23"/>
              </w:rPr>
            </w:pPr>
            <w:r>
              <w:rPr>
                <w:rFonts w:hint="eastAsia" w:ascii="宋体" w:hAnsi="宋体" w:cs="宋体"/>
                <w:kern w:val="0"/>
                <w:sz w:val="23"/>
                <w:szCs w:val="23"/>
              </w:rPr>
              <w:t>补助次数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1786"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住宅</w:t>
            </w:r>
          </w:p>
        </w:tc>
        <w:tc>
          <w:tcPr>
            <w:tcW w:w="1994"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平方米</w:t>
            </w:r>
          </w:p>
        </w:tc>
        <w:tc>
          <w:tcPr>
            <w:tcW w:w="198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16</w:t>
            </w:r>
          </w:p>
        </w:tc>
        <w:tc>
          <w:tcPr>
            <w:tcW w:w="180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2</w:t>
            </w:r>
            <w:r>
              <w:rPr>
                <w:rFonts w:hint="eastAsia" w:ascii="宋体" w:hAnsi="宋体" w:cs="宋体"/>
                <w:kern w:val="0"/>
                <w:sz w:val="23"/>
                <w:szCs w:val="23"/>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6"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办公</w:t>
            </w:r>
          </w:p>
        </w:tc>
        <w:tc>
          <w:tcPr>
            <w:tcW w:w="1994"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平方米</w:t>
            </w:r>
          </w:p>
        </w:tc>
        <w:tc>
          <w:tcPr>
            <w:tcW w:w="198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16</w:t>
            </w:r>
          </w:p>
        </w:tc>
        <w:tc>
          <w:tcPr>
            <w:tcW w:w="180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2</w:t>
            </w:r>
            <w:r>
              <w:rPr>
                <w:rFonts w:hint="eastAsia" w:ascii="宋体" w:hAnsi="宋体" w:cs="宋体"/>
                <w:kern w:val="0"/>
                <w:sz w:val="23"/>
                <w:szCs w:val="23"/>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6"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商业</w:t>
            </w:r>
          </w:p>
        </w:tc>
        <w:tc>
          <w:tcPr>
            <w:tcW w:w="1994"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平方米</w:t>
            </w:r>
          </w:p>
        </w:tc>
        <w:tc>
          <w:tcPr>
            <w:tcW w:w="198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16</w:t>
            </w:r>
          </w:p>
        </w:tc>
        <w:tc>
          <w:tcPr>
            <w:tcW w:w="180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2</w:t>
            </w:r>
            <w:r>
              <w:rPr>
                <w:rFonts w:hint="eastAsia" w:ascii="宋体" w:hAnsi="宋体" w:cs="宋体"/>
                <w:kern w:val="0"/>
                <w:sz w:val="23"/>
                <w:szCs w:val="23"/>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6"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工业</w:t>
            </w:r>
          </w:p>
        </w:tc>
        <w:tc>
          <w:tcPr>
            <w:tcW w:w="1994"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平方米</w:t>
            </w:r>
          </w:p>
        </w:tc>
        <w:tc>
          <w:tcPr>
            <w:tcW w:w="1980" w:type="dxa"/>
            <w:shd w:val="clear" w:color="auto" w:fill="FFFFFF"/>
            <w:tcMar>
              <w:top w:w="75" w:type="dxa"/>
              <w:left w:w="150" w:type="dxa"/>
              <w:bottom w:w="75" w:type="dxa"/>
              <w:right w:w="150" w:type="dxa"/>
            </w:tcMar>
          </w:tcPr>
          <w:p>
            <w:pPr>
              <w:widowControl/>
              <w:wordWrap w:val="0"/>
              <w:jc w:val="center"/>
              <w:rPr>
                <w:rFonts w:ascii="宋体" w:hAnsi="宋体" w:cs="宋体"/>
                <w:kern w:val="0"/>
                <w:sz w:val="23"/>
                <w:szCs w:val="23"/>
              </w:rPr>
            </w:pPr>
            <w:r>
              <w:rPr>
                <w:rFonts w:ascii="宋体" w:hAnsi="宋体" w:cs="宋体"/>
                <w:kern w:val="0"/>
                <w:sz w:val="23"/>
                <w:szCs w:val="23"/>
              </w:rPr>
              <w:t>50</w:t>
            </w:r>
          </w:p>
        </w:tc>
        <w:tc>
          <w:tcPr>
            <w:tcW w:w="180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1</w:t>
            </w:r>
            <w:r>
              <w:rPr>
                <w:rFonts w:hint="eastAsia" w:ascii="宋体" w:hAnsi="宋体" w:cs="宋体"/>
                <w:kern w:val="0"/>
                <w:sz w:val="23"/>
                <w:szCs w:val="23"/>
              </w:rPr>
              <w:t>次</w:t>
            </w:r>
          </w:p>
        </w:tc>
      </w:tr>
    </w:tbl>
    <w:p>
      <w:pPr>
        <w:widowControl/>
        <w:shd w:val="clear" w:color="auto" w:fill="FFFFFF"/>
        <w:spacing w:line="540" w:lineRule="exact"/>
        <w:ind w:firstLine="640" w:firstLineChars="200"/>
        <w:rPr>
          <w:rFonts w:ascii="仿宋_GB2312" w:eastAsia="仿宋_GB2312"/>
          <w:sz w:val="32"/>
          <w:szCs w:val="32"/>
        </w:rPr>
      </w:pPr>
      <w:r>
        <w:rPr>
          <w:rFonts w:hint="eastAsia" w:ascii="仿宋_GB2312" w:eastAsia="仿宋_GB2312"/>
          <w:sz w:val="32"/>
          <w:szCs w:val="32"/>
        </w:rPr>
        <w:t>搬迁费每户每次不低于</w:t>
      </w:r>
      <w:r>
        <w:rPr>
          <w:rFonts w:ascii="仿宋_GB2312" w:eastAsia="仿宋_GB2312"/>
          <w:sz w:val="32"/>
          <w:szCs w:val="32"/>
        </w:rPr>
        <w:t xml:space="preserve"> 2000</w:t>
      </w:r>
      <w:r>
        <w:rPr>
          <w:rFonts w:hint="eastAsia" w:ascii="仿宋_GB2312" w:eastAsia="仿宋_GB2312"/>
          <w:sz w:val="32"/>
          <w:szCs w:val="32"/>
        </w:rPr>
        <w:t>元，共有产权（含继承、析产、分摊）按一户计付。工业企业对搬迁费标准有异议的，可由征收双方委托评估中介机构进行评估。</w:t>
      </w:r>
    </w:p>
    <w:p>
      <w:pPr>
        <w:widowControl/>
        <w:shd w:val="clear" w:color="auto" w:fill="FFFFFF"/>
        <w:spacing w:line="420" w:lineRule="atLeast"/>
        <w:ind w:firstLine="639" w:firstLineChars="199"/>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停产停业损失补助费标准</w:t>
      </w:r>
    </w:p>
    <w:p>
      <w:pPr>
        <w:widowControl/>
        <w:shd w:val="clear" w:color="auto" w:fill="FFFFFF"/>
        <w:spacing w:line="420" w:lineRule="atLeast"/>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 1 \* GB3 </w:instrText>
      </w:r>
      <w:r>
        <w:rPr>
          <w:rFonts w:ascii="仿宋_GB2312" w:eastAsia="仿宋_GB2312"/>
          <w:sz w:val="32"/>
          <w:szCs w:val="32"/>
        </w:rPr>
        <w:fldChar w:fldCharType="separate"/>
      </w:r>
      <w:r>
        <w:rPr>
          <w:rFonts w:hint="eastAsia" w:ascii="仿宋_GB2312" w:eastAsia="仿宋_GB2312"/>
          <w:sz w:val="32"/>
          <w:szCs w:val="32"/>
        </w:rPr>
        <w:t>①</w:t>
      </w:r>
      <w:r>
        <w:rPr>
          <w:rFonts w:ascii="仿宋_GB2312" w:eastAsia="仿宋_GB2312"/>
          <w:sz w:val="32"/>
          <w:szCs w:val="32"/>
        </w:rPr>
        <w:fldChar w:fldCharType="end"/>
      </w:r>
      <w:r>
        <w:rPr>
          <w:rFonts w:hint="eastAsia" w:ascii="仿宋_GB2312" w:eastAsia="仿宋_GB2312"/>
          <w:sz w:val="32"/>
          <w:szCs w:val="32"/>
        </w:rPr>
        <w:t>工业用房的停产停业损失补助费按被征收工业用房评估价值（不包括装修、装潢等费用）的</w:t>
      </w:r>
      <w:r>
        <w:rPr>
          <w:rFonts w:ascii="仿宋_GB2312" w:eastAsia="仿宋_GB2312"/>
          <w:sz w:val="32"/>
          <w:szCs w:val="32"/>
        </w:rPr>
        <w:t>5%</w:t>
      </w:r>
      <w:r>
        <w:rPr>
          <w:rFonts w:hint="eastAsia" w:ascii="仿宋_GB2312" w:eastAsia="仿宋_GB2312"/>
          <w:sz w:val="32"/>
          <w:szCs w:val="32"/>
        </w:rPr>
        <w:t>予以一次性补助。</w:t>
      </w:r>
      <w:r>
        <w:rPr>
          <w:rFonts w:ascii="仿宋_GB2312" w:eastAsia="仿宋_GB2312"/>
          <w:sz w:val="32"/>
          <w:szCs w:val="32"/>
        </w:rPr>
        <w:t xml:space="preserve"> </w:t>
      </w:r>
    </w:p>
    <w:p>
      <w:pPr>
        <w:widowControl/>
        <w:shd w:val="clear" w:color="auto" w:fill="FFFFFF"/>
        <w:spacing w:line="420" w:lineRule="atLeast"/>
        <w:ind w:firstLine="480"/>
        <w:rPr>
          <w:rFonts w:ascii="仿宋_GB2312" w:eastAsia="仿宋_GB2312"/>
          <w:sz w:val="32"/>
          <w:szCs w:val="32"/>
        </w:rPr>
      </w:pPr>
      <w:r>
        <w:rPr>
          <w:rFonts w:ascii="仿宋_GB2312" w:eastAsia="仿宋_GB2312"/>
          <w:sz w:val="32"/>
          <w:szCs w:val="32"/>
        </w:rPr>
        <w:t xml:space="preserve"> </w:t>
      </w:r>
      <w:r>
        <w:rPr>
          <w:rFonts w:ascii="仿宋_GB2312" w:eastAsia="仿宋_GB2312"/>
          <w:sz w:val="32"/>
          <w:szCs w:val="32"/>
        </w:rPr>
        <w:fldChar w:fldCharType="begin"/>
      </w:r>
      <w:r>
        <w:rPr>
          <w:rFonts w:ascii="仿宋_GB2312" w:eastAsia="仿宋_GB2312"/>
          <w:sz w:val="32"/>
          <w:szCs w:val="32"/>
        </w:rPr>
        <w:instrText xml:space="preserve"> = 2 \* GB3 </w:instrText>
      </w:r>
      <w:r>
        <w:rPr>
          <w:rFonts w:ascii="仿宋_GB2312" w:eastAsia="仿宋_GB2312"/>
          <w:sz w:val="32"/>
          <w:szCs w:val="32"/>
        </w:rPr>
        <w:fldChar w:fldCharType="separate"/>
      </w:r>
      <w:r>
        <w:rPr>
          <w:rFonts w:hint="eastAsia" w:ascii="仿宋_GB2312" w:eastAsia="仿宋_GB2312"/>
          <w:sz w:val="32"/>
          <w:szCs w:val="32"/>
        </w:rPr>
        <w:t>②</w:t>
      </w:r>
      <w:r>
        <w:rPr>
          <w:rFonts w:ascii="仿宋_GB2312" w:eastAsia="仿宋_GB2312"/>
          <w:sz w:val="32"/>
          <w:szCs w:val="32"/>
        </w:rPr>
        <w:fldChar w:fldCharType="end"/>
      </w:r>
      <w:r>
        <w:rPr>
          <w:rFonts w:hint="eastAsia" w:ascii="仿宋_GB2312" w:eastAsia="仿宋_GB2312"/>
          <w:sz w:val="32"/>
          <w:szCs w:val="32"/>
        </w:rPr>
        <w:t>商业用房的停产停业损失补助费按被征收房屋评估价值（不包括装修、装潢等费用）</w:t>
      </w:r>
      <w:r>
        <w:rPr>
          <w:rFonts w:ascii="仿宋_GB2312" w:eastAsia="仿宋_GB2312"/>
          <w:sz w:val="32"/>
          <w:szCs w:val="32"/>
        </w:rPr>
        <w:t>5%</w:t>
      </w:r>
      <w:r>
        <w:rPr>
          <w:rFonts w:hint="eastAsia" w:ascii="仿宋_GB2312" w:eastAsia="仿宋_GB2312"/>
          <w:sz w:val="32"/>
          <w:szCs w:val="32"/>
        </w:rPr>
        <w:t>的标准予以一次性补助。</w:t>
      </w:r>
    </w:p>
    <w:p>
      <w:pPr>
        <w:widowControl/>
        <w:shd w:val="clear" w:color="auto" w:fill="FFFFFF"/>
        <w:spacing w:line="420" w:lineRule="atLeast"/>
        <w:ind w:firstLine="640" w:firstLineChars="200"/>
        <w:rPr>
          <w:rFonts w:ascii="仿宋_GB2312" w:eastAsia="仿宋_GB2312"/>
          <w:sz w:val="32"/>
          <w:szCs w:val="32"/>
        </w:rPr>
      </w:pPr>
      <w:r>
        <w:rPr>
          <w:rFonts w:hint="eastAsia" w:ascii="仿宋_GB2312" w:eastAsia="仿宋_GB2312"/>
          <w:sz w:val="32"/>
          <w:szCs w:val="32"/>
        </w:rPr>
        <w:t>上述商业用房是指临街底层店面房屋，征收时仍在营业的；房产证、土地证注明用途为商业用房的，按房产证面积结合实际情况认定其商业用房面积。</w:t>
      </w:r>
    </w:p>
    <w:p>
      <w:pPr>
        <w:spacing w:line="460" w:lineRule="exact"/>
        <w:ind w:firstLine="482" w:firstLineChars="150"/>
        <w:rPr>
          <w:rFonts w:ascii="宋体"/>
          <w:b/>
          <w:sz w:val="24"/>
        </w:rPr>
      </w:pPr>
      <w:r>
        <w:rPr>
          <w:rFonts w:ascii="仿宋_GB2312" w:eastAsia="仿宋_GB2312"/>
          <w:b/>
          <w:sz w:val="32"/>
          <w:szCs w:val="32"/>
        </w:rPr>
        <w:t>4.</w:t>
      </w:r>
      <w:r>
        <w:rPr>
          <w:rFonts w:ascii="宋体" w:hAnsi="宋体"/>
          <w:b/>
          <w:sz w:val="24"/>
        </w:rPr>
        <w:t xml:space="preserve"> </w:t>
      </w:r>
      <w:r>
        <w:rPr>
          <w:rFonts w:hint="eastAsia" w:ascii="仿宋_GB2312" w:eastAsia="仿宋_GB2312"/>
          <w:b/>
          <w:sz w:val="32"/>
          <w:szCs w:val="32"/>
        </w:rPr>
        <w:t>装修补偿标准</w:t>
      </w:r>
      <w:r>
        <w:rPr>
          <w:rFonts w:ascii="宋体" w:hAnsi="宋体"/>
          <w:b/>
          <w:sz w:val="24"/>
        </w:rPr>
        <w:t xml:space="preserve">      </w:t>
      </w:r>
    </w:p>
    <w:p>
      <w:pPr>
        <w:spacing w:line="460" w:lineRule="exact"/>
        <w:ind w:firstLine="2400" w:firstLineChars="1000"/>
        <w:rPr>
          <w:rFonts w:ascii="宋体"/>
          <w:sz w:val="24"/>
        </w:rPr>
      </w:pPr>
      <w:r>
        <w:rPr>
          <w:rFonts w:hint="eastAsia" w:ascii="宋体" w:hAnsi="宋体"/>
          <w:sz w:val="24"/>
        </w:rPr>
        <w:t>丽水市区房屋征收装修补偿包干价格</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2081"/>
        <w:gridCol w:w="208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Align w:val="center"/>
          </w:tcPr>
          <w:p>
            <w:pPr>
              <w:spacing w:line="320" w:lineRule="exact"/>
              <w:jc w:val="center"/>
              <w:rPr>
                <w:rFonts w:ascii="宋体"/>
                <w:szCs w:val="21"/>
              </w:rPr>
            </w:pPr>
            <w:r>
              <w:rPr>
                <w:rFonts w:hint="eastAsia" w:ascii="宋体" w:hAnsi="宋体"/>
                <w:szCs w:val="21"/>
              </w:rPr>
              <w:t>结构</w:t>
            </w:r>
          </w:p>
        </w:tc>
        <w:tc>
          <w:tcPr>
            <w:tcW w:w="2081" w:type="dxa"/>
            <w:vAlign w:val="center"/>
          </w:tcPr>
          <w:p>
            <w:pPr>
              <w:spacing w:line="320" w:lineRule="exact"/>
              <w:jc w:val="center"/>
              <w:rPr>
                <w:rFonts w:ascii="宋体"/>
                <w:szCs w:val="21"/>
              </w:rPr>
            </w:pPr>
            <w:r>
              <w:rPr>
                <w:rFonts w:hint="eastAsia" w:ascii="宋体" w:hAnsi="宋体"/>
                <w:szCs w:val="21"/>
              </w:rPr>
              <w:t>装修程度</w:t>
            </w:r>
          </w:p>
        </w:tc>
        <w:tc>
          <w:tcPr>
            <w:tcW w:w="2083" w:type="dxa"/>
            <w:vAlign w:val="center"/>
          </w:tcPr>
          <w:p>
            <w:pPr>
              <w:spacing w:line="320" w:lineRule="exact"/>
              <w:jc w:val="center"/>
              <w:rPr>
                <w:rFonts w:ascii="宋体"/>
                <w:szCs w:val="21"/>
              </w:rPr>
            </w:pPr>
            <w:r>
              <w:rPr>
                <w:rFonts w:hint="eastAsia" w:ascii="宋体" w:hAnsi="宋体"/>
                <w:szCs w:val="21"/>
              </w:rPr>
              <w:t>补偿标准</w:t>
            </w:r>
          </w:p>
        </w:tc>
        <w:tc>
          <w:tcPr>
            <w:tcW w:w="1063" w:type="dxa"/>
            <w:vAlign w:val="center"/>
          </w:tcPr>
          <w:p>
            <w:pPr>
              <w:spacing w:line="320" w:lineRule="exact"/>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restart"/>
            <w:vAlign w:val="center"/>
          </w:tcPr>
          <w:p>
            <w:pPr>
              <w:spacing w:line="320" w:lineRule="exact"/>
              <w:jc w:val="center"/>
              <w:rPr>
                <w:rFonts w:ascii="宋体"/>
                <w:szCs w:val="21"/>
              </w:rPr>
            </w:pPr>
            <w:r>
              <w:rPr>
                <w:rFonts w:hint="eastAsia" w:ascii="宋体" w:hAnsi="宋体"/>
                <w:szCs w:val="21"/>
              </w:rPr>
              <w:t>泥木其他</w:t>
            </w:r>
          </w:p>
          <w:p>
            <w:pPr>
              <w:spacing w:line="320" w:lineRule="exact"/>
              <w:jc w:val="center"/>
              <w:rPr>
                <w:rFonts w:ascii="宋体"/>
                <w:szCs w:val="21"/>
              </w:rPr>
            </w:pPr>
            <w:r>
              <w:rPr>
                <w:rFonts w:hint="eastAsia" w:ascii="宋体" w:hAnsi="宋体"/>
                <w:szCs w:val="21"/>
              </w:rPr>
              <w:t>结构</w:t>
            </w:r>
          </w:p>
        </w:tc>
        <w:tc>
          <w:tcPr>
            <w:tcW w:w="2081" w:type="dxa"/>
            <w:vAlign w:val="center"/>
          </w:tcPr>
          <w:p>
            <w:pPr>
              <w:spacing w:line="320" w:lineRule="exact"/>
              <w:jc w:val="center"/>
              <w:rPr>
                <w:rFonts w:ascii="宋体"/>
                <w:szCs w:val="21"/>
              </w:rPr>
            </w:pPr>
            <w:r>
              <w:rPr>
                <w:rFonts w:hint="eastAsia" w:ascii="宋体" w:hAnsi="宋体"/>
                <w:szCs w:val="21"/>
              </w:rPr>
              <w:t>简单装修</w:t>
            </w:r>
          </w:p>
        </w:tc>
        <w:tc>
          <w:tcPr>
            <w:tcW w:w="2083" w:type="dxa"/>
            <w:vAlign w:val="center"/>
          </w:tcPr>
          <w:p>
            <w:pPr>
              <w:spacing w:line="320" w:lineRule="exact"/>
              <w:jc w:val="center"/>
              <w:rPr>
                <w:rFonts w:ascii="宋体"/>
                <w:szCs w:val="21"/>
              </w:rPr>
            </w:pPr>
            <w:r>
              <w:rPr>
                <w:rFonts w:ascii="宋体" w:hAnsi="宋体"/>
                <w:szCs w:val="21"/>
              </w:rPr>
              <w:t>25</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continue"/>
            <w:vAlign w:val="center"/>
          </w:tcPr>
          <w:p>
            <w:pPr>
              <w:spacing w:line="320" w:lineRule="exact"/>
              <w:jc w:val="center"/>
              <w:rPr>
                <w:rFonts w:ascii="宋体"/>
                <w:szCs w:val="21"/>
              </w:rPr>
            </w:pPr>
          </w:p>
        </w:tc>
        <w:tc>
          <w:tcPr>
            <w:tcW w:w="2081" w:type="dxa"/>
            <w:vAlign w:val="center"/>
          </w:tcPr>
          <w:p>
            <w:pPr>
              <w:spacing w:line="320" w:lineRule="exact"/>
              <w:jc w:val="center"/>
              <w:rPr>
                <w:rFonts w:ascii="宋体"/>
                <w:szCs w:val="21"/>
              </w:rPr>
            </w:pPr>
            <w:r>
              <w:rPr>
                <w:rFonts w:hint="eastAsia" w:ascii="宋体" w:hAnsi="宋体"/>
                <w:szCs w:val="21"/>
              </w:rPr>
              <w:t>普通装修</w:t>
            </w:r>
          </w:p>
        </w:tc>
        <w:tc>
          <w:tcPr>
            <w:tcW w:w="2083" w:type="dxa"/>
            <w:vAlign w:val="center"/>
          </w:tcPr>
          <w:p>
            <w:pPr>
              <w:spacing w:line="320" w:lineRule="exact"/>
              <w:jc w:val="center"/>
              <w:rPr>
                <w:rFonts w:ascii="宋体"/>
                <w:szCs w:val="21"/>
              </w:rPr>
            </w:pPr>
            <w:r>
              <w:rPr>
                <w:rFonts w:ascii="宋体" w:hAnsi="宋体"/>
                <w:szCs w:val="21"/>
              </w:rPr>
              <w:t>35</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restart"/>
            <w:vAlign w:val="center"/>
          </w:tcPr>
          <w:p>
            <w:pPr>
              <w:spacing w:line="320" w:lineRule="exact"/>
              <w:jc w:val="center"/>
              <w:rPr>
                <w:rFonts w:ascii="宋体"/>
                <w:szCs w:val="21"/>
              </w:rPr>
            </w:pPr>
            <w:r>
              <w:rPr>
                <w:rFonts w:hint="eastAsia" w:ascii="宋体" w:hAnsi="宋体"/>
                <w:szCs w:val="21"/>
              </w:rPr>
              <w:t>砖木结构</w:t>
            </w:r>
          </w:p>
        </w:tc>
        <w:tc>
          <w:tcPr>
            <w:tcW w:w="2081" w:type="dxa"/>
            <w:vAlign w:val="center"/>
          </w:tcPr>
          <w:p>
            <w:pPr>
              <w:spacing w:line="320" w:lineRule="exact"/>
              <w:jc w:val="center"/>
              <w:rPr>
                <w:rFonts w:ascii="宋体"/>
                <w:szCs w:val="21"/>
              </w:rPr>
            </w:pPr>
            <w:r>
              <w:rPr>
                <w:rFonts w:hint="eastAsia" w:ascii="宋体" w:hAnsi="宋体"/>
                <w:szCs w:val="21"/>
              </w:rPr>
              <w:t>简单装修</w:t>
            </w:r>
          </w:p>
        </w:tc>
        <w:tc>
          <w:tcPr>
            <w:tcW w:w="2083" w:type="dxa"/>
            <w:vAlign w:val="center"/>
          </w:tcPr>
          <w:p>
            <w:pPr>
              <w:spacing w:line="320" w:lineRule="exact"/>
              <w:jc w:val="center"/>
              <w:rPr>
                <w:rFonts w:ascii="宋体"/>
                <w:szCs w:val="21"/>
              </w:rPr>
            </w:pPr>
            <w:r>
              <w:rPr>
                <w:rFonts w:ascii="宋体" w:hAnsi="宋体"/>
                <w:szCs w:val="21"/>
              </w:rPr>
              <w:t>38</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continue"/>
            <w:vAlign w:val="center"/>
          </w:tcPr>
          <w:p>
            <w:pPr>
              <w:spacing w:line="320" w:lineRule="exact"/>
              <w:jc w:val="center"/>
              <w:rPr>
                <w:rFonts w:ascii="宋体"/>
                <w:szCs w:val="21"/>
              </w:rPr>
            </w:pPr>
          </w:p>
        </w:tc>
        <w:tc>
          <w:tcPr>
            <w:tcW w:w="2081" w:type="dxa"/>
            <w:vAlign w:val="center"/>
          </w:tcPr>
          <w:p>
            <w:pPr>
              <w:spacing w:line="320" w:lineRule="exact"/>
              <w:jc w:val="center"/>
              <w:rPr>
                <w:rFonts w:ascii="宋体"/>
                <w:szCs w:val="21"/>
              </w:rPr>
            </w:pPr>
            <w:r>
              <w:rPr>
                <w:rFonts w:hint="eastAsia" w:ascii="宋体" w:hAnsi="宋体"/>
                <w:szCs w:val="21"/>
              </w:rPr>
              <w:t>普通装修</w:t>
            </w:r>
          </w:p>
        </w:tc>
        <w:tc>
          <w:tcPr>
            <w:tcW w:w="2083" w:type="dxa"/>
            <w:vAlign w:val="center"/>
          </w:tcPr>
          <w:p>
            <w:pPr>
              <w:spacing w:line="320" w:lineRule="exact"/>
              <w:jc w:val="center"/>
              <w:rPr>
                <w:rFonts w:ascii="宋体"/>
                <w:szCs w:val="21"/>
              </w:rPr>
            </w:pPr>
            <w:r>
              <w:rPr>
                <w:rFonts w:ascii="宋体" w:hAnsi="宋体"/>
                <w:szCs w:val="21"/>
              </w:rPr>
              <w:t>45</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restart"/>
            <w:vAlign w:val="center"/>
          </w:tcPr>
          <w:p>
            <w:pPr>
              <w:spacing w:line="320" w:lineRule="exact"/>
              <w:jc w:val="center"/>
              <w:rPr>
                <w:rFonts w:ascii="宋体"/>
                <w:szCs w:val="21"/>
              </w:rPr>
            </w:pPr>
            <w:r>
              <w:rPr>
                <w:rFonts w:hint="eastAsia" w:ascii="宋体" w:hAnsi="宋体"/>
                <w:szCs w:val="21"/>
              </w:rPr>
              <w:t>砖混以上</w:t>
            </w:r>
          </w:p>
          <w:p>
            <w:pPr>
              <w:spacing w:line="320" w:lineRule="exact"/>
              <w:jc w:val="center"/>
              <w:rPr>
                <w:rFonts w:ascii="宋体"/>
                <w:szCs w:val="21"/>
              </w:rPr>
            </w:pPr>
            <w:r>
              <w:rPr>
                <w:rFonts w:hint="eastAsia" w:ascii="宋体" w:hAnsi="宋体"/>
                <w:szCs w:val="21"/>
              </w:rPr>
              <w:t>结构</w:t>
            </w:r>
          </w:p>
        </w:tc>
        <w:tc>
          <w:tcPr>
            <w:tcW w:w="2081" w:type="dxa"/>
            <w:vAlign w:val="center"/>
          </w:tcPr>
          <w:p>
            <w:pPr>
              <w:spacing w:line="320" w:lineRule="exact"/>
              <w:jc w:val="center"/>
              <w:rPr>
                <w:rFonts w:ascii="宋体"/>
                <w:szCs w:val="21"/>
              </w:rPr>
            </w:pPr>
            <w:r>
              <w:rPr>
                <w:rFonts w:hint="eastAsia" w:ascii="宋体" w:hAnsi="宋体"/>
                <w:szCs w:val="21"/>
              </w:rPr>
              <w:t>简单装修</w:t>
            </w:r>
          </w:p>
        </w:tc>
        <w:tc>
          <w:tcPr>
            <w:tcW w:w="2083" w:type="dxa"/>
            <w:vAlign w:val="center"/>
          </w:tcPr>
          <w:p>
            <w:pPr>
              <w:spacing w:line="320" w:lineRule="exact"/>
              <w:jc w:val="center"/>
              <w:rPr>
                <w:rFonts w:ascii="宋体"/>
                <w:szCs w:val="21"/>
              </w:rPr>
            </w:pPr>
            <w:r>
              <w:rPr>
                <w:rFonts w:ascii="宋体" w:hAnsi="宋体"/>
                <w:szCs w:val="21"/>
              </w:rPr>
              <w:t>46</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continue"/>
            <w:vAlign w:val="center"/>
          </w:tcPr>
          <w:p>
            <w:pPr>
              <w:spacing w:line="320" w:lineRule="exact"/>
              <w:jc w:val="center"/>
              <w:rPr>
                <w:rFonts w:ascii="宋体"/>
                <w:szCs w:val="21"/>
              </w:rPr>
            </w:pPr>
          </w:p>
        </w:tc>
        <w:tc>
          <w:tcPr>
            <w:tcW w:w="2081" w:type="dxa"/>
            <w:vAlign w:val="center"/>
          </w:tcPr>
          <w:p>
            <w:pPr>
              <w:spacing w:line="320" w:lineRule="exact"/>
              <w:jc w:val="center"/>
              <w:rPr>
                <w:rFonts w:ascii="宋体"/>
                <w:szCs w:val="21"/>
              </w:rPr>
            </w:pPr>
            <w:r>
              <w:rPr>
                <w:rFonts w:hint="eastAsia" w:ascii="宋体" w:hAnsi="宋体"/>
                <w:szCs w:val="21"/>
              </w:rPr>
              <w:t>普通装修</w:t>
            </w:r>
          </w:p>
        </w:tc>
        <w:tc>
          <w:tcPr>
            <w:tcW w:w="2083" w:type="dxa"/>
            <w:vAlign w:val="center"/>
          </w:tcPr>
          <w:p>
            <w:pPr>
              <w:spacing w:line="320" w:lineRule="exact"/>
              <w:jc w:val="center"/>
              <w:rPr>
                <w:rFonts w:ascii="宋体"/>
                <w:szCs w:val="21"/>
              </w:rPr>
            </w:pPr>
            <w:r>
              <w:rPr>
                <w:rFonts w:ascii="宋体" w:hAnsi="宋体"/>
                <w:szCs w:val="21"/>
              </w:rPr>
              <w:t>53</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bl>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说明：</w:t>
      </w:r>
    </w:p>
    <w:p>
      <w:pPr>
        <w:spacing w:line="440" w:lineRule="exact"/>
        <w:ind w:firstLine="640" w:firstLineChars="200"/>
        <w:rPr>
          <w:rFonts w:ascii="仿宋_GB2312" w:hAnsi="仿宋_GB2312" w:eastAsia="仿宋_GB2312" w:cs="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 1 \* GB3 </w:instrText>
      </w:r>
      <w:r>
        <w:rPr>
          <w:rFonts w:ascii="仿宋_GB2312" w:eastAsia="仿宋_GB2312"/>
          <w:sz w:val="32"/>
          <w:szCs w:val="32"/>
        </w:rPr>
        <w:fldChar w:fldCharType="separate"/>
      </w:r>
      <w:r>
        <w:rPr>
          <w:rFonts w:hint="eastAsia" w:ascii="仿宋_GB2312" w:eastAsia="仿宋_GB2312"/>
          <w:sz w:val="32"/>
          <w:szCs w:val="32"/>
        </w:rPr>
        <w:t>①</w:t>
      </w:r>
      <w:r>
        <w:rPr>
          <w:rFonts w:ascii="仿宋_GB2312" w:eastAsia="仿宋_GB2312"/>
          <w:sz w:val="32"/>
          <w:szCs w:val="32"/>
        </w:rPr>
        <w:fldChar w:fldCharType="end"/>
      </w:r>
      <w:r>
        <w:rPr>
          <w:rFonts w:hint="eastAsia" w:ascii="仿宋_GB2312" w:hAnsi="仿宋_GB2312" w:eastAsia="仿宋_GB2312" w:cs="仿宋_GB2312"/>
          <w:sz w:val="32"/>
          <w:szCs w:val="32"/>
        </w:rPr>
        <w:t>合法建筑面积内，征收公告前装修的均按以上标准补偿；</w:t>
      </w:r>
      <w:r>
        <w:rPr>
          <w:rFonts w:ascii="仿宋_GB2312" w:hAnsi="仿宋_GB2312" w:eastAsia="仿宋_GB2312" w:cs="仿宋_GB2312"/>
          <w:sz w:val="32"/>
          <w:szCs w:val="32"/>
        </w:rPr>
        <w:t xml:space="preserve"> </w:t>
      </w:r>
    </w:p>
    <w:p>
      <w:pPr>
        <w:spacing w:line="440" w:lineRule="exact"/>
        <w:ind w:firstLine="640" w:firstLineChars="200"/>
        <w:rPr>
          <w:rFonts w:ascii="仿宋_GB2312" w:hAnsi="仿宋_GB2312" w:eastAsia="仿宋_GB2312" w:cs="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 2 \* GB3 </w:instrText>
      </w:r>
      <w:r>
        <w:rPr>
          <w:rFonts w:ascii="仿宋_GB2312" w:eastAsia="仿宋_GB2312"/>
          <w:sz w:val="32"/>
          <w:szCs w:val="32"/>
        </w:rPr>
        <w:fldChar w:fldCharType="separate"/>
      </w:r>
      <w:r>
        <w:rPr>
          <w:rFonts w:hint="eastAsia" w:ascii="仿宋_GB2312" w:eastAsia="仿宋_GB2312"/>
          <w:sz w:val="32"/>
          <w:szCs w:val="32"/>
        </w:rPr>
        <w:t>②</w:t>
      </w:r>
      <w:r>
        <w:rPr>
          <w:rFonts w:ascii="仿宋_GB2312" w:eastAsia="仿宋_GB2312"/>
          <w:sz w:val="32"/>
          <w:szCs w:val="32"/>
        </w:rPr>
        <w:fldChar w:fldCharType="end"/>
      </w:r>
      <w:r>
        <w:rPr>
          <w:rFonts w:hint="eastAsia" w:ascii="仿宋_GB2312" w:hAnsi="仿宋_GB2312" w:eastAsia="仿宋_GB2312" w:cs="仿宋_GB2312"/>
          <w:sz w:val="32"/>
          <w:szCs w:val="32"/>
        </w:rPr>
        <w:t>装修程度较好的特殊户，对以上装修补偿指导价格有异议的，可选择由评估机构按市场评估价值确定；</w:t>
      </w:r>
      <w:r>
        <w:rPr>
          <w:rFonts w:ascii="仿宋_GB2312" w:hAnsi="仿宋_GB2312" w:eastAsia="仿宋_GB2312" w:cs="仿宋_GB2312"/>
          <w:sz w:val="32"/>
          <w:szCs w:val="32"/>
        </w:rPr>
        <w:t xml:space="preserve"> </w:t>
      </w:r>
    </w:p>
    <w:p>
      <w:pPr>
        <w:spacing w:line="4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 3 \* GB3 </w:instrText>
      </w:r>
      <w:r>
        <w:rPr>
          <w:rFonts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合法工业用房的装修补偿按上列标准的</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计算。</w:t>
      </w:r>
      <w:r>
        <w:rPr>
          <w:rFonts w:ascii="仿宋_GB2312" w:hAnsi="仿宋_GB2312" w:eastAsia="仿宋_GB2312" w:cs="仿宋_GB2312"/>
          <w:sz w:val="32"/>
          <w:szCs w:val="32"/>
        </w:rPr>
        <w:t xml:space="preserve"> </w:t>
      </w:r>
    </w:p>
    <w:p>
      <w:pPr>
        <w:spacing w:line="500" w:lineRule="exact"/>
        <w:ind w:firstLine="321" w:firstLineChars="100"/>
        <w:rPr>
          <w:rFonts w:ascii="仿宋_GB2312" w:eastAsia="仿宋_GB2312"/>
          <w:b/>
          <w:sz w:val="32"/>
          <w:szCs w:val="32"/>
        </w:rPr>
      </w:pPr>
      <w:r>
        <w:rPr>
          <w:rFonts w:ascii="仿宋_GB2312" w:eastAsia="仿宋_GB2312"/>
          <w:b/>
          <w:sz w:val="32"/>
          <w:szCs w:val="32"/>
        </w:rPr>
        <w:t xml:space="preserve">5. </w:t>
      </w:r>
      <w:r>
        <w:rPr>
          <w:rFonts w:hint="eastAsia" w:ascii="仿宋_GB2312" w:eastAsia="仿宋_GB2312"/>
          <w:b/>
          <w:sz w:val="32"/>
          <w:szCs w:val="32"/>
        </w:rPr>
        <w:t>附属建筑物及其它设施等补偿标准</w:t>
      </w:r>
    </w:p>
    <w:p>
      <w:pPr>
        <w:spacing w:line="500" w:lineRule="exact"/>
        <w:jc w:val="center"/>
        <w:rPr>
          <w:rFonts w:ascii="黑体" w:hAnsi="宋体" w:eastAsia="黑体"/>
          <w:sz w:val="28"/>
          <w:szCs w:val="28"/>
        </w:rPr>
      </w:pPr>
      <w:r>
        <w:rPr>
          <w:rFonts w:ascii="黑体" w:hAnsi="宋体" w:eastAsia="黑体"/>
        </w:rPr>
        <w:t xml:space="preserve"> </w:t>
      </w:r>
      <w:r>
        <w:rPr>
          <w:rFonts w:hint="eastAsia" w:ascii="黑体" w:hAnsi="宋体" w:eastAsia="黑体"/>
          <w:sz w:val="28"/>
          <w:szCs w:val="28"/>
        </w:rPr>
        <w:t>丽水市市区房屋附属建筑物和其它设施补偿指导价格</w:t>
      </w:r>
    </w:p>
    <w:tbl>
      <w:tblPr>
        <w:tblStyle w:val="5"/>
        <w:tblW w:w="0" w:type="auto"/>
        <w:tblInd w:w="197" w:type="dxa"/>
        <w:tblLayout w:type="fixed"/>
        <w:tblCellMar>
          <w:top w:w="0" w:type="dxa"/>
          <w:left w:w="0" w:type="dxa"/>
          <w:bottom w:w="0" w:type="dxa"/>
          <w:right w:w="0" w:type="dxa"/>
        </w:tblCellMar>
      </w:tblPr>
      <w:tblGrid>
        <w:gridCol w:w="456"/>
        <w:gridCol w:w="1055"/>
        <w:gridCol w:w="2145"/>
        <w:gridCol w:w="900"/>
        <w:gridCol w:w="1080"/>
        <w:gridCol w:w="3140"/>
      </w:tblGrid>
      <w:tr>
        <w:trPr>
          <w:trHeight w:val="405"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序号</w:t>
            </w:r>
          </w:p>
        </w:tc>
        <w:tc>
          <w:tcPr>
            <w:tcW w:w="10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名称</w:t>
            </w:r>
          </w:p>
        </w:tc>
        <w:tc>
          <w:tcPr>
            <w:tcW w:w="21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主要条件</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计量单位</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基价（元）</w:t>
            </w:r>
          </w:p>
        </w:tc>
        <w:tc>
          <w:tcPr>
            <w:tcW w:w="3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备注</w:t>
            </w:r>
          </w:p>
        </w:tc>
      </w:tr>
      <w:tr>
        <w:tblPrEx>
          <w:tblCellMar>
            <w:top w:w="0" w:type="dxa"/>
            <w:left w:w="0" w:type="dxa"/>
            <w:bottom w:w="0" w:type="dxa"/>
            <w:right w:w="0" w:type="dxa"/>
          </w:tblCellMar>
        </w:tblPrEx>
        <w:trPr>
          <w:trHeight w:val="570" w:hRule="atLeast"/>
        </w:trPr>
        <w:tc>
          <w:tcPr>
            <w:tcW w:w="45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一</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围墙</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砖基础或块石基础，围墙高</w:t>
            </w:r>
            <w:r>
              <w:rPr>
                <w:rFonts w:ascii="仿宋_GB2312"/>
                <w:kern w:val="0"/>
                <w:sz w:val="24"/>
              </w:rPr>
              <w:t>2</w:t>
            </w:r>
            <w:r>
              <w:rPr>
                <w:rFonts w:hint="eastAsia" w:ascii="仿宋_GB2312"/>
                <w:kern w:val="0"/>
                <w:sz w:val="24"/>
              </w:rPr>
              <w:t>米</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210</w:t>
            </w:r>
          </w:p>
        </w:tc>
        <w:tc>
          <w:tcPr>
            <w:tcW w:w="3140" w:type="dxa"/>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围墙高每增减</w:t>
            </w:r>
            <w:r>
              <w:rPr>
                <w:rFonts w:ascii="仿宋_GB2312"/>
                <w:kern w:val="0"/>
                <w:sz w:val="24"/>
              </w:rPr>
              <w:t>10cm</w:t>
            </w:r>
            <w:r>
              <w:rPr>
                <w:rFonts w:hint="eastAsia" w:ascii="仿宋_GB2312"/>
                <w:kern w:val="0"/>
                <w:sz w:val="24"/>
              </w:rPr>
              <w:t>，补偿价增减</w:t>
            </w:r>
            <w:r>
              <w:rPr>
                <w:rFonts w:ascii="仿宋_GB2312"/>
                <w:kern w:val="0"/>
                <w:sz w:val="24"/>
              </w:rPr>
              <w:t>6</w:t>
            </w:r>
            <w:r>
              <w:rPr>
                <w:rFonts w:hint="eastAsia" w:ascii="仿宋_GB2312"/>
                <w:kern w:val="0"/>
                <w:sz w:val="24"/>
              </w:rPr>
              <w:t>元</w:t>
            </w:r>
            <w:r>
              <w:rPr>
                <w:rFonts w:ascii="仿宋_GB2312"/>
                <w:kern w:val="0"/>
                <w:sz w:val="24"/>
              </w:rPr>
              <w:t>/m</w:t>
            </w:r>
            <w:r>
              <w:rPr>
                <w:rFonts w:hint="eastAsia" w:ascii="仿宋_GB2312"/>
                <w:kern w:val="0"/>
                <w:sz w:val="24"/>
              </w:rPr>
              <w:t>。</w:t>
            </w:r>
          </w:p>
        </w:tc>
      </w:tr>
      <w:tr>
        <w:tblPrEx>
          <w:tblCellMar>
            <w:top w:w="0" w:type="dxa"/>
            <w:left w:w="0" w:type="dxa"/>
            <w:bottom w:w="0" w:type="dxa"/>
            <w:right w:w="0" w:type="dxa"/>
          </w:tblCellMar>
        </w:tblPrEx>
        <w:trPr>
          <w:trHeight w:val="296"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二</w:t>
            </w:r>
          </w:p>
        </w:tc>
        <w:tc>
          <w:tcPr>
            <w:tcW w:w="1055"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石坎</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干砌石坎</w:t>
            </w:r>
          </w:p>
        </w:tc>
        <w:tc>
          <w:tcPr>
            <w:tcW w:w="900"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r>
              <w:rPr>
                <w:rFonts w:ascii="仿宋_GB2312"/>
                <w:kern w:val="0"/>
                <w:sz w:val="24"/>
                <w:vertAlign w:val="superscript"/>
              </w:rPr>
              <w:t>3</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150</w:t>
            </w:r>
          </w:p>
        </w:tc>
        <w:tc>
          <w:tcPr>
            <w:tcW w:w="3140" w:type="dxa"/>
            <w:vMerge w:val="restart"/>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301"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浆砌石坎</w:t>
            </w:r>
          </w:p>
        </w:tc>
        <w:tc>
          <w:tcPr>
            <w:tcW w:w="90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180</w:t>
            </w:r>
          </w:p>
        </w:tc>
        <w:tc>
          <w:tcPr>
            <w:tcW w:w="314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276"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三</w:t>
            </w:r>
          </w:p>
        </w:tc>
        <w:tc>
          <w:tcPr>
            <w:tcW w:w="1055"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柱</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钢筋混凝土现浇柱</w:t>
            </w:r>
          </w:p>
        </w:tc>
        <w:tc>
          <w:tcPr>
            <w:tcW w:w="900"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r>
              <w:rPr>
                <w:rFonts w:ascii="仿宋_GB2312"/>
                <w:kern w:val="0"/>
                <w:sz w:val="24"/>
                <w:vertAlign w:val="superscript"/>
              </w:rPr>
              <w:t>3</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1550</w:t>
            </w:r>
          </w:p>
        </w:tc>
        <w:tc>
          <w:tcPr>
            <w:tcW w:w="3140" w:type="dxa"/>
            <w:vMerge w:val="restart"/>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267"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砖柱</w:t>
            </w:r>
          </w:p>
        </w:tc>
        <w:tc>
          <w:tcPr>
            <w:tcW w:w="90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400</w:t>
            </w:r>
          </w:p>
        </w:tc>
        <w:tc>
          <w:tcPr>
            <w:tcW w:w="314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r>
      <w:tr>
        <w:trPr>
          <w:trHeight w:val="864" w:hRule="atLeast"/>
        </w:trPr>
        <w:tc>
          <w:tcPr>
            <w:tcW w:w="45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四</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室外</w:t>
            </w:r>
          </w:p>
          <w:p>
            <w:pPr>
              <w:widowControl/>
              <w:spacing w:line="280" w:lineRule="exact"/>
              <w:jc w:val="center"/>
              <w:rPr>
                <w:rFonts w:ascii="仿宋_GB2312"/>
                <w:kern w:val="0"/>
                <w:sz w:val="24"/>
              </w:rPr>
            </w:pPr>
            <w:r>
              <w:rPr>
                <w:rFonts w:hint="eastAsia" w:ascii="仿宋_GB2312"/>
                <w:kern w:val="0"/>
                <w:sz w:val="24"/>
              </w:rPr>
              <w:t>水泥地</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水泥砂浆抹面，砼面层</w:t>
            </w:r>
            <w:r>
              <w:rPr>
                <w:rFonts w:ascii="仿宋_GB2312"/>
                <w:kern w:val="0"/>
                <w:sz w:val="24"/>
              </w:rPr>
              <w:t>10cm</w:t>
            </w:r>
            <w:r>
              <w:rPr>
                <w:rFonts w:hint="eastAsia" w:ascii="仿宋_GB2312"/>
                <w:kern w:val="0"/>
                <w:sz w:val="24"/>
              </w:rPr>
              <w:t>厚，</w:t>
            </w:r>
          </w:p>
          <w:p>
            <w:pPr>
              <w:widowControl/>
              <w:spacing w:line="280" w:lineRule="exact"/>
              <w:jc w:val="center"/>
              <w:rPr>
                <w:rFonts w:ascii="仿宋_GB2312"/>
                <w:kern w:val="0"/>
                <w:sz w:val="24"/>
              </w:rPr>
            </w:pPr>
            <w:r>
              <w:rPr>
                <w:rFonts w:hint="eastAsia" w:ascii="仿宋_GB2312"/>
                <w:kern w:val="0"/>
                <w:sz w:val="24"/>
              </w:rPr>
              <w:t>卵石垫层</w:t>
            </w:r>
            <w:r>
              <w:rPr>
                <w:rFonts w:ascii="仿宋_GB2312"/>
                <w:kern w:val="0"/>
                <w:sz w:val="24"/>
              </w:rPr>
              <w:t>10cm</w:t>
            </w:r>
            <w:r>
              <w:rPr>
                <w:rFonts w:hint="eastAsia" w:ascii="仿宋_GB2312"/>
                <w:kern w:val="0"/>
                <w:sz w:val="24"/>
              </w:rPr>
              <w:t>厚</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r>
              <w:rPr>
                <w:rFonts w:ascii="仿宋_GB2312"/>
                <w:kern w:val="0"/>
                <w:sz w:val="24"/>
                <w:vertAlign w:val="superscript"/>
              </w:rPr>
              <w:t>2</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50</w:t>
            </w:r>
          </w:p>
        </w:tc>
        <w:tc>
          <w:tcPr>
            <w:tcW w:w="3140" w:type="dxa"/>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p>
        </w:tc>
      </w:tr>
      <w:tr>
        <w:trPr>
          <w:trHeight w:val="256"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五</w:t>
            </w:r>
          </w:p>
        </w:tc>
        <w:tc>
          <w:tcPr>
            <w:tcW w:w="1055"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砖砌</w:t>
            </w:r>
          </w:p>
          <w:p>
            <w:pPr>
              <w:widowControl/>
              <w:spacing w:line="280" w:lineRule="exact"/>
              <w:jc w:val="center"/>
              <w:rPr>
                <w:rFonts w:ascii="仿宋_GB2312"/>
                <w:kern w:val="0"/>
                <w:sz w:val="24"/>
              </w:rPr>
            </w:pPr>
            <w:r>
              <w:rPr>
                <w:rFonts w:hint="eastAsia" w:ascii="仿宋_GB2312"/>
                <w:kern w:val="0"/>
                <w:sz w:val="24"/>
              </w:rPr>
              <w:t>炉灶</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三眼</w:t>
            </w:r>
          </w:p>
        </w:tc>
        <w:tc>
          <w:tcPr>
            <w:tcW w:w="900"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座</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700</w:t>
            </w:r>
          </w:p>
        </w:tc>
        <w:tc>
          <w:tcPr>
            <w:tcW w:w="3140" w:type="dxa"/>
            <w:vMerge w:val="restart"/>
            <w:tcBorders>
              <w:top w:val="nil"/>
              <w:left w:val="nil"/>
              <w:bottom w:val="single" w:color="000000"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可移动的炉灶不予补偿</w:t>
            </w:r>
            <w:r>
              <w:rPr>
                <w:rFonts w:ascii="仿宋_GB2312"/>
                <w:kern w:val="0"/>
                <w:sz w:val="24"/>
              </w:rPr>
              <w:t>,</w:t>
            </w:r>
            <w:r>
              <w:rPr>
                <w:rFonts w:hint="eastAsia" w:ascii="仿宋_GB2312"/>
                <w:kern w:val="0"/>
                <w:sz w:val="24"/>
              </w:rPr>
              <w:t>有直立砖砌烟囱者加</w:t>
            </w:r>
            <w:r>
              <w:rPr>
                <w:rFonts w:ascii="仿宋_GB2312"/>
                <w:kern w:val="0"/>
                <w:sz w:val="24"/>
              </w:rPr>
              <w:t>15</w:t>
            </w:r>
            <w:r>
              <w:rPr>
                <w:rFonts w:hint="eastAsia" w:ascii="仿宋_GB2312"/>
                <w:kern w:val="0"/>
                <w:sz w:val="24"/>
              </w:rPr>
              <w:t>元</w:t>
            </w:r>
            <w:r>
              <w:rPr>
                <w:rFonts w:ascii="仿宋_GB2312"/>
                <w:kern w:val="0"/>
                <w:sz w:val="24"/>
              </w:rPr>
              <w:t>,</w:t>
            </w:r>
            <w:r>
              <w:rPr>
                <w:rFonts w:hint="eastAsia" w:ascii="仿宋_GB2312"/>
                <w:kern w:val="0"/>
                <w:sz w:val="24"/>
              </w:rPr>
              <w:t>有横烟囱者加</w:t>
            </w:r>
            <w:r>
              <w:rPr>
                <w:rFonts w:ascii="仿宋_GB2312"/>
                <w:kern w:val="0"/>
                <w:sz w:val="24"/>
              </w:rPr>
              <w:t>10</w:t>
            </w:r>
            <w:r>
              <w:rPr>
                <w:rFonts w:hint="eastAsia" w:ascii="仿宋_GB2312"/>
                <w:kern w:val="0"/>
                <w:sz w:val="24"/>
              </w:rPr>
              <w:t>元</w:t>
            </w:r>
            <w:r>
              <w:rPr>
                <w:rFonts w:ascii="仿宋_GB2312"/>
                <w:kern w:val="0"/>
                <w:sz w:val="24"/>
              </w:rPr>
              <w:t>,</w:t>
            </w:r>
            <w:r>
              <w:rPr>
                <w:rFonts w:hint="eastAsia" w:ascii="仿宋_GB2312"/>
                <w:kern w:val="0"/>
                <w:sz w:val="24"/>
              </w:rPr>
              <w:t>特大炉灶提高</w:t>
            </w:r>
            <w:r>
              <w:rPr>
                <w:rFonts w:ascii="仿宋_GB2312"/>
                <w:kern w:val="0"/>
                <w:sz w:val="24"/>
              </w:rPr>
              <w:t>10-50%</w:t>
            </w:r>
            <w:r>
              <w:rPr>
                <w:rFonts w:hint="eastAsia" w:ascii="仿宋_GB2312"/>
                <w:kern w:val="0"/>
                <w:sz w:val="24"/>
              </w:rPr>
              <w:t>补偿。</w:t>
            </w:r>
          </w:p>
        </w:tc>
      </w:tr>
      <w:tr>
        <w:trPr>
          <w:trHeight w:val="24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二眼</w:t>
            </w:r>
          </w:p>
        </w:tc>
        <w:tc>
          <w:tcPr>
            <w:tcW w:w="90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600</w:t>
            </w:r>
          </w:p>
        </w:tc>
        <w:tc>
          <w:tcPr>
            <w:tcW w:w="314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378"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单眼</w:t>
            </w:r>
          </w:p>
        </w:tc>
        <w:tc>
          <w:tcPr>
            <w:tcW w:w="90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500</w:t>
            </w:r>
          </w:p>
        </w:tc>
        <w:tc>
          <w:tcPr>
            <w:tcW w:w="314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228" w:hRule="atLeast"/>
        </w:trPr>
        <w:tc>
          <w:tcPr>
            <w:tcW w:w="4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六</w:t>
            </w:r>
          </w:p>
        </w:tc>
        <w:tc>
          <w:tcPr>
            <w:tcW w:w="1055" w:type="dxa"/>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泥筑</w:t>
            </w:r>
          </w:p>
          <w:p>
            <w:pPr>
              <w:widowControl/>
              <w:spacing w:line="280" w:lineRule="exact"/>
              <w:jc w:val="center"/>
              <w:rPr>
                <w:rFonts w:ascii="仿宋_GB2312"/>
                <w:kern w:val="0"/>
                <w:sz w:val="24"/>
              </w:rPr>
            </w:pPr>
            <w:r>
              <w:rPr>
                <w:rFonts w:hint="eastAsia" w:ascii="仿宋_GB2312"/>
                <w:kern w:val="0"/>
                <w:sz w:val="24"/>
              </w:rPr>
              <w:t>炉灶</w:t>
            </w:r>
          </w:p>
        </w:tc>
        <w:tc>
          <w:tcPr>
            <w:tcW w:w="21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三眼</w:t>
            </w:r>
          </w:p>
        </w:tc>
        <w:tc>
          <w:tcPr>
            <w:tcW w:w="900" w:type="dxa"/>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座</w:t>
            </w:r>
          </w:p>
        </w:tc>
        <w:tc>
          <w:tcPr>
            <w:tcW w:w="10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300</w:t>
            </w:r>
          </w:p>
        </w:tc>
        <w:tc>
          <w:tcPr>
            <w:tcW w:w="3140"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218"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二眼</w:t>
            </w:r>
          </w:p>
        </w:tc>
        <w:tc>
          <w:tcPr>
            <w:tcW w:w="900"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250</w:t>
            </w:r>
          </w:p>
        </w:tc>
        <w:tc>
          <w:tcPr>
            <w:tcW w:w="3140"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kern w:val="0"/>
                <w:sz w:val="24"/>
              </w:rPr>
            </w:pPr>
          </w:p>
        </w:tc>
      </w:tr>
      <w:tr>
        <w:trPr>
          <w:trHeight w:val="222"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单眼</w:t>
            </w:r>
          </w:p>
        </w:tc>
        <w:tc>
          <w:tcPr>
            <w:tcW w:w="90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200</w:t>
            </w:r>
          </w:p>
        </w:tc>
        <w:tc>
          <w:tcPr>
            <w:tcW w:w="314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r>
      <w:tr>
        <w:trPr>
          <w:trHeight w:val="212"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七</w:t>
            </w:r>
          </w:p>
        </w:tc>
        <w:tc>
          <w:tcPr>
            <w:tcW w:w="1055"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水井</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深不足三米的水井</w:t>
            </w:r>
          </w:p>
        </w:tc>
        <w:tc>
          <w:tcPr>
            <w:tcW w:w="900"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180</w:t>
            </w:r>
          </w:p>
        </w:tc>
        <w:tc>
          <w:tcPr>
            <w:tcW w:w="3140" w:type="dxa"/>
            <w:vMerge w:val="restart"/>
            <w:tcBorders>
              <w:top w:val="nil"/>
              <w:left w:val="nil"/>
              <w:bottom w:val="single" w:color="000000"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rPr>
          <w:trHeight w:val="358"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深超过三米的水井</w:t>
            </w:r>
          </w:p>
        </w:tc>
        <w:tc>
          <w:tcPr>
            <w:tcW w:w="90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260</w:t>
            </w:r>
          </w:p>
        </w:tc>
        <w:tc>
          <w:tcPr>
            <w:tcW w:w="314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r>
      <w:tr>
        <w:trPr>
          <w:trHeight w:val="282"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八</w:t>
            </w:r>
          </w:p>
        </w:tc>
        <w:tc>
          <w:tcPr>
            <w:tcW w:w="1055"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水池</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预制水池</w:t>
            </w:r>
          </w:p>
        </w:tc>
        <w:tc>
          <w:tcPr>
            <w:tcW w:w="900"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只</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110</w:t>
            </w:r>
          </w:p>
        </w:tc>
        <w:tc>
          <w:tcPr>
            <w:tcW w:w="3140" w:type="dxa"/>
            <w:vMerge w:val="restart"/>
            <w:tcBorders>
              <w:top w:val="nil"/>
              <w:left w:val="nil"/>
              <w:bottom w:val="single" w:color="000000"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rPr>
          <w:trHeight w:val="28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砖砌水泥砂浆粉刷水池</w:t>
            </w:r>
          </w:p>
        </w:tc>
        <w:tc>
          <w:tcPr>
            <w:tcW w:w="90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120</w:t>
            </w:r>
          </w:p>
        </w:tc>
        <w:tc>
          <w:tcPr>
            <w:tcW w:w="314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r>
      <w:tr>
        <w:trPr>
          <w:trHeight w:val="432" w:hRule="atLeast"/>
        </w:trPr>
        <w:tc>
          <w:tcPr>
            <w:tcW w:w="45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九</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摇井</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摇井</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口</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600-800</w:t>
            </w:r>
          </w:p>
        </w:tc>
        <w:tc>
          <w:tcPr>
            <w:tcW w:w="3140" w:type="dxa"/>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rPr>
          <w:trHeight w:val="406" w:hRule="atLeast"/>
        </w:trPr>
        <w:tc>
          <w:tcPr>
            <w:tcW w:w="45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仿宋_GB2312"/>
                <w:kern w:val="0"/>
                <w:sz w:val="24"/>
              </w:rPr>
            </w:pPr>
            <w:r>
              <w:rPr>
                <w:rFonts w:hint="eastAsia" w:ascii="仿宋_GB2312"/>
                <w:kern w:val="0"/>
                <w:sz w:val="24"/>
              </w:rPr>
              <w:t>十</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空调</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拆装</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台</w:t>
            </w:r>
            <w:r>
              <w:rPr>
                <w:rFonts w:ascii="仿宋_GB2312"/>
                <w:kern w:val="0"/>
                <w:sz w:val="24"/>
              </w:rPr>
              <w:t xml:space="preserve"> </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300</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rPr>
          <w:trHeight w:val="40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宋体"/>
                <w:kern w:val="0"/>
                <w:sz w:val="24"/>
                <w:lang w:eastAsia="zh-CN"/>
              </w:rPr>
            </w:pPr>
            <w:r>
              <w:rPr>
                <w:rFonts w:hint="eastAsia" w:ascii="仿宋_GB2312"/>
                <w:kern w:val="0"/>
                <w:sz w:val="24"/>
              </w:rPr>
              <w:t>太阳能</w:t>
            </w:r>
            <w:r>
              <w:rPr>
                <w:rFonts w:hint="eastAsia" w:ascii="仿宋_GB2312"/>
                <w:kern w:val="0"/>
                <w:sz w:val="24"/>
                <w:lang w:eastAsia="zh-CN"/>
              </w:rPr>
              <w:t>、空气能</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拆装</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台</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600</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电话</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迁移费</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户</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108</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有线</w:t>
            </w:r>
          </w:p>
          <w:p>
            <w:pPr>
              <w:widowControl/>
              <w:spacing w:line="280" w:lineRule="exact"/>
              <w:jc w:val="center"/>
              <w:rPr>
                <w:rFonts w:ascii="仿宋_GB2312"/>
                <w:kern w:val="0"/>
                <w:sz w:val="24"/>
              </w:rPr>
            </w:pPr>
            <w:r>
              <w:rPr>
                <w:rFonts w:hint="eastAsia" w:ascii="仿宋_GB2312"/>
                <w:kern w:val="0"/>
                <w:sz w:val="24"/>
              </w:rPr>
              <w:t>电视</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迁移费</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户</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100</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仿宋_GB2312"/>
                <w:kern w:val="0"/>
                <w:sz w:val="24"/>
              </w:rPr>
            </w:pPr>
            <w:r>
              <w:rPr>
                <w:rFonts w:hint="eastAsia" w:ascii="仿宋_GB2312"/>
                <w:kern w:val="0"/>
                <w:sz w:val="24"/>
              </w:rPr>
              <w:t>十一</w:t>
            </w:r>
          </w:p>
        </w:tc>
        <w:tc>
          <w:tcPr>
            <w:tcW w:w="1055" w:type="dxa"/>
            <w:tcBorders>
              <w:top w:val="nil"/>
              <w:left w:val="nil"/>
              <w:bottom w:val="single" w:color="auto" w:sz="4" w:space="0"/>
              <w:right w:val="single" w:color="auto" w:sz="4" w:space="0"/>
            </w:tcBorders>
            <w:vAlign w:val="center"/>
          </w:tcPr>
          <w:p>
            <w:pPr>
              <w:spacing w:line="280" w:lineRule="exact"/>
              <w:jc w:val="center"/>
              <w:rPr>
                <w:rFonts w:ascii="仿宋_GB2312"/>
                <w:kern w:val="0"/>
                <w:sz w:val="24"/>
              </w:rPr>
            </w:pPr>
            <w:r>
              <w:rPr>
                <w:rFonts w:hint="eastAsia" w:ascii="仿宋_GB2312"/>
                <w:kern w:val="0"/>
                <w:sz w:val="24"/>
              </w:rPr>
              <w:t>宽带</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迁移费</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户</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100</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tcBorders>
              <w:top w:val="nil"/>
              <w:left w:val="nil"/>
              <w:bottom w:val="single" w:color="auto" w:sz="4" w:space="0"/>
              <w:right w:val="single" w:color="auto" w:sz="4" w:space="0"/>
            </w:tcBorders>
            <w:vAlign w:val="center"/>
          </w:tcPr>
          <w:p>
            <w:pPr>
              <w:spacing w:line="280" w:lineRule="exact"/>
              <w:jc w:val="center"/>
              <w:rPr>
                <w:kern w:val="0"/>
                <w:sz w:val="24"/>
              </w:rPr>
            </w:pPr>
            <w:r>
              <w:rPr>
                <w:rFonts w:hint="eastAsia" w:ascii="仿宋_GB2312"/>
                <w:kern w:val="0"/>
                <w:sz w:val="24"/>
              </w:rPr>
              <w:t>门牌</w:t>
            </w:r>
          </w:p>
        </w:tc>
        <w:tc>
          <w:tcPr>
            <w:tcW w:w="2145" w:type="dxa"/>
            <w:tcBorders>
              <w:top w:val="nil"/>
              <w:left w:val="nil"/>
              <w:bottom w:val="single" w:color="auto" w:sz="4" w:space="0"/>
              <w:right w:val="single" w:color="auto" w:sz="4" w:space="0"/>
            </w:tcBorders>
            <w:vAlign w:val="center"/>
          </w:tcPr>
          <w:p>
            <w:pPr>
              <w:widowControl/>
              <w:spacing w:line="280" w:lineRule="exact"/>
              <w:jc w:val="center"/>
              <w:rPr>
                <w:kern w:val="0"/>
                <w:sz w:val="24"/>
              </w:rPr>
            </w:pPr>
            <w:r>
              <w:rPr>
                <w:rFonts w:hint="eastAsia" w:ascii="仿宋_GB2312"/>
                <w:kern w:val="0"/>
                <w:sz w:val="24"/>
              </w:rPr>
              <w:t>迁移费</w:t>
            </w:r>
          </w:p>
        </w:tc>
        <w:tc>
          <w:tcPr>
            <w:tcW w:w="900" w:type="dxa"/>
            <w:tcBorders>
              <w:top w:val="nil"/>
              <w:left w:val="nil"/>
              <w:bottom w:val="single" w:color="auto" w:sz="4" w:space="0"/>
              <w:right w:val="single" w:color="auto" w:sz="4" w:space="0"/>
            </w:tcBorders>
            <w:vAlign w:val="center"/>
          </w:tcPr>
          <w:p>
            <w:pPr>
              <w:widowControl/>
              <w:spacing w:line="280" w:lineRule="exact"/>
              <w:jc w:val="center"/>
              <w:rPr>
                <w:kern w:val="0"/>
                <w:sz w:val="24"/>
              </w:rPr>
            </w:pPr>
            <w:r>
              <w:rPr>
                <w:rFonts w:hint="eastAsia" w:ascii="仿宋_GB2312"/>
                <w:kern w:val="0"/>
                <w:sz w:val="24"/>
              </w:rPr>
              <w:t>块</w:t>
            </w:r>
          </w:p>
        </w:tc>
        <w:tc>
          <w:tcPr>
            <w:tcW w:w="1080" w:type="dxa"/>
            <w:tcBorders>
              <w:top w:val="nil"/>
              <w:left w:val="nil"/>
              <w:bottom w:val="single" w:color="auto" w:sz="4" w:space="0"/>
              <w:right w:val="single" w:color="auto" w:sz="4" w:space="0"/>
            </w:tcBorders>
            <w:vAlign w:val="center"/>
          </w:tcPr>
          <w:p>
            <w:pPr>
              <w:widowControl/>
              <w:spacing w:line="280" w:lineRule="exact"/>
              <w:jc w:val="center"/>
              <w:rPr>
                <w:kern w:val="0"/>
                <w:sz w:val="24"/>
              </w:rPr>
            </w:pPr>
            <w:r>
              <w:rPr>
                <w:kern w:val="0"/>
                <w:sz w:val="24"/>
              </w:rPr>
              <w:t>30</w:t>
            </w:r>
          </w:p>
        </w:tc>
        <w:tc>
          <w:tcPr>
            <w:tcW w:w="3140" w:type="dxa"/>
            <w:tcBorders>
              <w:top w:val="nil"/>
              <w:left w:val="nil"/>
              <w:bottom w:val="single" w:color="auto" w:sz="4" w:space="0"/>
              <w:right w:val="single" w:color="auto" w:sz="4" w:space="0"/>
            </w:tcBorders>
            <w:vAlign w:val="center"/>
          </w:tcPr>
          <w:p>
            <w:pPr>
              <w:widowControl/>
              <w:spacing w:line="280" w:lineRule="exact"/>
              <w:rPr>
                <w:kern w:val="0"/>
                <w:sz w:val="24"/>
              </w:rPr>
            </w:pPr>
            <w:r>
              <w:rPr>
                <w:rFonts w:hint="eastAsia" w:ascii="仿宋_GB2312"/>
                <w:kern w:val="0"/>
                <w:sz w:val="24"/>
              </w:rPr>
              <w:t>一次性补偿</w:t>
            </w:r>
          </w:p>
        </w:tc>
      </w:tr>
    </w:tbl>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十、自行过渡奖、按时签约、房屋腾空奖励</w:t>
      </w:r>
      <w:r>
        <w:rPr>
          <w:rFonts w:ascii="仿宋_GB2312" w:eastAsia="仿宋_GB2312"/>
          <w:b/>
          <w:sz w:val="32"/>
          <w:szCs w:val="32"/>
        </w:rPr>
        <w:t xml:space="preserve"> </w:t>
      </w:r>
    </w:p>
    <w:p>
      <w:pPr>
        <w:spacing w:line="540" w:lineRule="exact"/>
        <w:rPr>
          <w:rFonts w:ascii="仿宋_GB2312" w:eastAsia="仿宋_GB2312"/>
          <w:sz w:val="32"/>
          <w:szCs w:val="32"/>
        </w:rPr>
      </w:pPr>
      <w:r>
        <w:rPr>
          <w:rFonts w:hint="eastAsia" w:ascii="仿宋_GB2312" w:eastAsia="仿宋_GB2312"/>
          <w:sz w:val="32"/>
          <w:szCs w:val="32"/>
        </w:rPr>
        <w:t>　　（一）被征收人的签约时间、搬迁腾空日期另行公告。</w:t>
      </w:r>
      <w:r>
        <w:rPr>
          <w:rFonts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（二）被征收人自行过渡奖，在相应的签约批次、搬迁腾空奖励如下：</w:t>
      </w:r>
    </w:p>
    <w:p>
      <w:pPr>
        <w:spacing w:line="460" w:lineRule="exact"/>
        <w:ind w:firstLine="525" w:firstLineChars="250"/>
        <w:rPr>
          <w:rFonts w:ascii="仿宋_GB2312" w:eastAsia="仿宋_GB2312"/>
          <w:sz w:val="32"/>
          <w:szCs w:val="32"/>
        </w:rPr>
      </w:pPr>
      <w:r>
        <w:rPr>
          <w:rFonts w:ascii="微软雅黑"/>
          <w:szCs w:val="21"/>
          <w:shd w:val="clear" w:color="auto" w:fill="FFFFFF"/>
        </w:rPr>
        <w:t xml:space="preserve">  </w:t>
      </w:r>
      <w:r>
        <w:rPr>
          <w:rFonts w:ascii="仿宋_GB2312" w:eastAsia="仿宋_GB2312"/>
          <w:sz w:val="32"/>
          <w:szCs w:val="32"/>
        </w:rPr>
        <w:t>1</w:t>
      </w:r>
      <w:r>
        <w:rPr>
          <w:rFonts w:hint="eastAsia" w:ascii="仿宋_GB2312" w:eastAsia="仿宋_GB2312"/>
          <w:sz w:val="32"/>
          <w:szCs w:val="32"/>
        </w:rPr>
        <w:t>．被征收人的住宅房屋采取自行解决周转过渡（含货币补偿）的，给予被征收房屋建筑面积</w:t>
      </w:r>
      <w:r>
        <w:rPr>
          <w:rFonts w:ascii="仿宋_GB2312" w:eastAsia="仿宋_GB2312"/>
          <w:sz w:val="32"/>
          <w:szCs w:val="32"/>
        </w:rPr>
        <w:t>100</w:t>
      </w:r>
      <w:r>
        <w:rPr>
          <w:rFonts w:hint="eastAsia" w:ascii="仿宋_GB2312" w:eastAsia="仿宋_GB2312"/>
          <w:sz w:val="32"/>
          <w:szCs w:val="32"/>
        </w:rPr>
        <w:t>元</w:t>
      </w:r>
      <w:r>
        <w:rPr>
          <w:rFonts w:ascii="仿宋_GB2312" w:eastAsia="仿宋_GB2312"/>
          <w:sz w:val="32"/>
          <w:szCs w:val="32"/>
        </w:rPr>
        <w:t xml:space="preserve">/ </w:t>
      </w:r>
      <w:r>
        <w:rPr>
          <w:rFonts w:hint="eastAsia" w:ascii="仿宋_GB2312" w:eastAsia="仿宋_GB2312"/>
          <w:sz w:val="32"/>
          <w:szCs w:val="32"/>
        </w:rPr>
        <w:t>平方米的一次性奖励。</w:t>
      </w:r>
      <w:r>
        <w:rPr>
          <w:rFonts w:ascii="仿宋_GB2312" w:eastAsia="仿宋_GB2312"/>
          <w:sz w:val="32"/>
          <w:szCs w:val="32"/>
        </w:rPr>
        <w:t xml:space="preserve"> </w:t>
      </w:r>
    </w:p>
    <w:p>
      <w:pPr>
        <w:spacing w:line="460" w:lineRule="exact"/>
        <w:ind w:firstLine="800" w:firstLineChars="25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．按时签约腾空奖励、签约率奖励按《丽水市市区房屋征收签约腾空奖励办法》丽政办发〔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88</w:t>
      </w:r>
      <w:r>
        <w:rPr>
          <w:rFonts w:hint="eastAsia" w:ascii="仿宋_GB2312" w:eastAsia="仿宋_GB2312"/>
          <w:sz w:val="32"/>
          <w:szCs w:val="32"/>
        </w:rPr>
        <w:t>号文件执行。</w:t>
      </w:r>
    </w:p>
    <w:p>
      <w:pPr>
        <w:spacing w:line="540" w:lineRule="exact"/>
        <w:ind w:firstLine="800" w:firstLineChars="250"/>
        <w:rPr>
          <w:rFonts w:ascii="仿宋_GB2312" w:eastAsia="仿宋_GB2312"/>
          <w:sz w:val="32"/>
          <w:szCs w:val="32"/>
        </w:rPr>
      </w:pPr>
      <w:r>
        <w:rPr>
          <w:rFonts w:hint="eastAsia" w:ascii="仿宋_GB2312" w:eastAsia="仿宋_GB2312"/>
          <w:sz w:val="32"/>
          <w:szCs w:val="32"/>
        </w:rPr>
        <w:t>被征收人凭房屋腾空交付验收证明和房屋征收补偿安置协议及其他需要提供的材料结算搬迁腾空奖励。</w:t>
      </w:r>
    </w:p>
    <w:p>
      <w:pPr>
        <w:spacing w:line="540" w:lineRule="exact"/>
        <w:ind w:firstLine="803" w:firstLineChars="250"/>
        <w:rPr>
          <w:rFonts w:ascii="仿宋_GB2312" w:eastAsia="仿宋_GB2312"/>
          <w:b/>
          <w:sz w:val="32"/>
          <w:szCs w:val="32"/>
        </w:rPr>
      </w:pPr>
      <w:r>
        <w:rPr>
          <w:rFonts w:hint="eastAsia" w:ascii="仿宋_GB2312" w:eastAsia="仿宋_GB2312"/>
          <w:b/>
          <w:sz w:val="32"/>
          <w:szCs w:val="32"/>
        </w:rPr>
        <w:t>十一、选房机制</w:t>
      </w:r>
    </w:p>
    <w:p>
      <w:pPr>
        <w:spacing w:line="540" w:lineRule="exact"/>
        <w:ind w:firstLine="645"/>
        <w:rPr>
          <w:rFonts w:ascii="仿宋_GB2312" w:eastAsia="仿宋_GB2312"/>
          <w:sz w:val="32"/>
          <w:szCs w:val="32"/>
        </w:rPr>
      </w:pPr>
      <w:r>
        <w:rPr>
          <w:rFonts w:hint="eastAsia" w:ascii="仿宋_GB2312" w:eastAsia="仿宋_GB2312"/>
          <w:sz w:val="32"/>
          <w:szCs w:val="32"/>
        </w:rPr>
        <w:t>安置房建成后，按照政府制定的分房办法分批次选房。</w:t>
      </w:r>
    </w:p>
    <w:p>
      <w:pPr>
        <w:spacing w:line="540" w:lineRule="exact"/>
        <w:rPr>
          <w:rFonts w:ascii="仿宋_GB2312" w:eastAsia="仿宋_GB2312"/>
          <w:b/>
          <w:sz w:val="32"/>
          <w:szCs w:val="32"/>
        </w:rPr>
      </w:pPr>
      <w:r>
        <w:rPr>
          <w:rFonts w:hint="eastAsia" w:ascii="仿宋_GB2312" w:eastAsia="仿宋_GB2312"/>
          <w:sz w:val="32"/>
          <w:szCs w:val="32"/>
        </w:rPr>
        <w:t>　　</w:t>
      </w:r>
      <w:r>
        <w:rPr>
          <w:rFonts w:hint="eastAsia" w:ascii="仿宋_GB2312" w:eastAsia="仿宋_GB2312"/>
          <w:b/>
          <w:sz w:val="32"/>
          <w:szCs w:val="32"/>
        </w:rPr>
        <w:t>十二、本方案未尽事宜，按照相关法律法规及丽水市有关政策的规定执行。</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书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7</w:t>
    </w:r>
    <w:r>
      <w:rPr>
        <w:rStyle w:val="7"/>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8C"/>
    <w:rsid w:val="00007E81"/>
    <w:rsid w:val="0001038F"/>
    <w:rsid w:val="00011084"/>
    <w:rsid w:val="000126DF"/>
    <w:rsid w:val="000227CD"/>
    <w:rsid w:val="000230CD"/>
    <w:rsid w:val="00024903"/>
    <w:rsid w:val="00036AC3"/>
    <w:rsid w:val="00040A61"/>
    <w:rsid w:val="00042CEF"/>
    <w:rsid w:val="000438B2"/>
    <w:rsid w:val="00046170"/>
    <w:rsid w:val="00071EA1"/>
    <w:rsid w:val="0007273C"/>
    <w:rsid w:val="00090292"/>
    <w:rsid w:val="00092F12"/>
    <w:rsid w:val="000B149A"/>
    <w:rsid w:val="000B6B5F"/>
    <w:rsid w:val="000B766F"/>
    <w:rsid w:val="000D3D54"/>
    <w:rsid w:val="000D5BBF"/>
    <w:rsid w:val="000D7965"/>
    <w:rsid w:val="000E2F79"/>
    <w:rsid w:val="000E34D7"/>
    <w:rsid w:val="000F0219"/>
    <w:rsid w:val="0010088B"/>
    <w:rsid w:val="00103147"/>
    <w:rsid w:val="001073EE"/>
    <w:rsid w:val="0012049F"/>
    <w:rsid w:val="00140E5D"/>
    <w:rsid w:val="00150585"/>
    <w:rsid w:val="00156698"/>
    <w:rsid w:val="00161182"/>
    <w:rsid w:val="001628FE"/>
    <w:rsid w:val="00173923"/>
    <w:rsid w:val="001861F6"/>
    <w:rsid w:val="00194EF8"/>
    <w:rsid w:val="001A4A32"/>
    <w:rsid w:val="001B04F7"/>
    <w:rsid w:val="001B47CE"/>
    <w:rsid w:val="001C1E0C"/>
    <w:rsid w:val="001D2E1F"/>
    <w:rsid w:val="001E4A24"/>
    <w:rsid w:val="001E4BC6"/>
    <w:rsid w:val="001E66CB"/>
    <w:rsid w:val="001F5790"/>
    <w:rsid w:val="002075F5"/>
    <w:rsid w:val="00245D12"/>
    <w:rsid w:val="00252981"/>
    <w:rsid w:val="002913DE"/>
    <w:rsid w:val="00294C24"/>
    <w:rsid w:val="002A41FF"/>
    <w:rsid w:val="002A5A07"/>
    <w:rsid w:val="002B7BFF"/>
    <w:rsid w:val="002C0C74"/>
    <w:rsid w:val="002D4524"/>
    <w:rsid w:val="003208EC"/>
    <w:rsid w:val="003216D6"/>
    <w:rsid w:val="003275AD"/>
    <w:rsid w:val="00345B7F"/>
    <w:rsid w:val="003623C8"/>
    <w:rsid w:val="00387506"/>
    <w:rsid w:val="003968F1"/>
    <w:rsid w:val="003B3B65"/>
    <w:rsid w:val="003C02DA"/>
    <w:rsid w:val="003C12F3"/>
    <w:rsid w:val="003E3334"/>
    <w:rsid w:val="003E3A9E"/>
    <w:rsid w:val="00421189"/>
    <w:rsid w:val="00433BA6"/>
    <w:rsid w:val="00445ED1"/>
    <w:rsid w:val="00447EE6"/>
    <w:rsid w:val="0045447D"/>
    <w:rsid w:val="00463229"/>
    <w:rsid w:val="00465AC8"/>
    <w:rsid w:val="00470C3F"/>
    <w:rsid w:val="00473C81"/>
    <w:rsid w:val="00477E68"/>
    <w:rsid w:val="0048760A"/>
    <w:rsid w:val="0049483F"/>
    <w:rsid w:val="004A2F26"/>
    <w:rsid w:val="004B2478"/>
    <w:rsid w:val="004B2963"/>
    <w:rsid w:val="004F1E0B"/>
    <w:rsid w:val="004F2FCF"/>
    <w:rsid w:val="005068A4"/>
    <w:rsid w:val="00514163"/>
    <w:rsid w:val="00516B72"/>
    <w:rsid w:val="00516B74"/>
    <w:rsid w:val="00520267"/>
    <w:rsid w:val="00532561"/>
    <w:rsid w:val="005364C5"/>
    <w:rsid w:val="00542FA5"/>
    <w:rsid w:val="00543497"/>
    <w:rsid w:val="00557681"/>
    <w:rsid w:val="00566A13"/>
    <w:rsid w:val="0059142F"/>
    <w:rsid w:val="005B5899"/>
    <w:rsid w:val="005B7703"/>
    <w:rsid w:val="005C2833"/>
    <w:rsid w:val="005D0993"/>
    <w:rsid w:val="005D558E"/>
    <w:rsid w:val="005D7F71"/>
    <w:rsid w:val="005E0D23"/>
    <w:rsid w:val="005F66D8"/>
    <w:rsid w:val="00606FBD"/>
    <w:rsid w:val="00612B06"/>
    <w:rsid w:val="00612D48"/>
    <w:rsid w:val="00613C78"/>
    <w:rsid w:val="006376B2"/>
    <w:rsid w:val="00644824"/>
    <w:rsid w:val="006509D3"/>
    <w:rsid w:val="00650AD7"/>
    <w:rsid w:val="00651004"/>
    <w:rsid w:val="00651AE2"/>
    <w:rsid w:val="00654C33"/>
    <w:rsid w:val="006938AC"/>
    <w:rsid w:val="00693987"/>
    <w:rsid w:val="006B1F84"/>
    <w:rsid w:val="006B2624"/>
    <w:rsid w:val="006B3A95"/>
    <w:rsid w:val="006C11D7"/>
    <w:rsid w:val="006C1950"/>
    <w:rsid w:val="006C1DD9"/>
    <w:rsid w:val="006D76AE"/>
    <w:rsid w:val="006E524A"/>
    <w:rsid w:val="00701B3C"/>
    <w:rsid w:val="00710684"/>
    <w:rsid w:val="0071625E"/>
    <w:rsid w:val="007168FD"/>
    <w:rsid w:val="00730DDB"/>
    <w:rsid w:val="0073770F"/>
    <w:rsid w:val="007818F6"/>
    <w:rsid w:val="00783572"/>
    <w:rsid w:val="007973A2"/>
    <w:rsid w:val="007A4AC0"/>
    <w:rsid w:val="007C1A90"/>
    <w:rsid w:val="007C1C79"/>
    <w:rsid w:val="007C75AA"/>
    <w:rsid w:val="007D15C4"/>
    <w:rsid w:val="007D1C24"/>
    <w:rsid w:val="007D3F3E"/>
    <w:rsid w:val="007D693E"/>
    <w:rsid w:val="007E0973"/>
    <w:rsid w:val="007E15BA"/>
    <w:rsid w:val="007E56A1"/>
    <w:rsid w:val="007F2BDE"/>
    <w:rsid w:val="00800DC1"/>
    <w:rsid w:val="00803438"/>
    <w:rsid w:val="00804660"/>
    <w:rsid w:val="00804964"/>
    <w:rsid w:val="00823C7F"/>
    <w:rsid w:val="008322ED"/>
    <w:rsid w:val="008436A4"/>
    <w:rsid w:val="00844A04"/>
    <w:rsid w:val="0084610E"/>
    <w:rsid w:val="0084774D"/>
    <w:rsid w:val="00847A3E"/>
    <w:rsid w:val="00851B55"/>
    <w:rsid w:val="00856665"/>
    <w:rsid w:val="008949EF"/>
    <w:rsid w:val="008A1103"/>
    <w:rsid w:val="008B338A"/>
    <w:rsid w:val="008B6D75"/>
    <w:rsid w:val="008C4802"/>
    <w:rsid w:val="008D27D4"/>
    <w:rsid w:val="008E2F0B"/>
    <w:rsid w:val="008E6DA1"/>
    <w:rsid w:val="008E7474"/>
    <w:rsid w:val="008F2516"/>
    <w:rsid w:val="00904194"/>
    <w:rsid w:val="009061E2"/>
    <w:rsid w:val="009100A8"/>
    <w:rsid w:val="00910AFA"/>
    <w:rsid w:val="0091783D"/>
    <w:rsid w:val="0092187F"/>
    <w:rsid w:val="00927F90"/>
    <w:rsid w:val="00932B37"/>
    <w:rsid w:val="00936FDD"/>
    <w:rsid w:val="00937723"/>
    <w:rsid w:val="00937F94"/>
    <w:rsid w:val="0094375F"/>
    <w:rsid w:val="00945857"/>
    <w:rsid w:val="0094784C"/>
    <w:rsid w:val="00957703"/>
    <w:rsid w:val="00961479"/>
    <w:rsid w:val="00962687"/>
    <w:rsid w:val="00971F37"/>
    <w:rsid w:val="00972125"/>
    <w:rsid w:val="00985E06"/>
    <w:rsid w:val="00985FB6"/>
    <w:rsid w:val="00990FF5"/>
    <w:rsid w:val="00994962"/>
    <w:rsid w:val="009964CD"/>
    <w:rsid w:val="00997830"/>
    <w:rsid w:val="00997BCC"/>
    <w:rsid w:val="009A3F8C"/>
    <w:rsid w:val="009A6AEC"/>
    <w:rsid w:val="009B7D0A"/>
    <w:rsid w:val="009E1B3D"/>
    <w:rsid w:val="009F558B"/>
    <w:rsid w:val="009F6972"/>
    <w:rsid w:val="009F7BC6"/>
    <w:rsid w:val="00A0793E"/>
    <w:rsid w:val="00A31A60"/>
    <w:rsid w:val="00A47254"/>
    <w:rsid w:val="00A541B8"/>
    <w:rsid w:val="00A6616B"/>
    <w:rsid w:val="00A76947"/>
    <w:rsid w:val="00AA1A81"/>
    <w:rsid w:val="00AA3335"/>
    <w:rsid w:val="00AC5098"/>
    <w:rsid w:val="00AD0D18"/>
    <w:rsid w:val="00AE5D0A"/>
    <w:rsid w:val="00AF3E6E"/>
    <w:rsid w:val="00AF5715"/>
    <w:rsid w:val="00AF6A9C"/>
    <w:rsid w:val="00B010BA"/>
    <w:rsid w:val="00B06B29"/>
    <w:rsid w:val="00B119A7"/>
    <w:rsid w:val="00B11BFA"/>
    <w:rsid w:val="00B14EC9"/>
    <w:rsid w:val="00B233D4"/>
    <w:rsid w:val="00B43843"/>
    <w:rsid w:val="00B46BDF"/>
    <w:rsid w:val="00B52192"/>
    <w:rsid w:val="00B53B74"/>
    <w:rsid w:val="00B71657"/>
    <w:rsid w:val="00B72AC5"/>
    <w:rsid w:val="00B73D83"/>
    <w:rsid w:val="00B8104E"/>
    <w:rsid w:val="00B85CBA"/>
    <w:rsid w:val="00B93412"/>
    <w:rsid w:val="00B96A8B"/>
    <w:rsid w:val="00B97B35"/>
    <w:rsid w:val="00BA0B73"/>
    <w:rsid w:val="00BA0DBB"/>
    <w:rsid w:val="00BA5FD3"/>
    <w:rsid w:val="00BA6C51"/>
    <w:rsid w:val="00BA6D72"/>
    <w:rsid w:val="00BD1330"/>
    <w:rsid w:val="00BD1F98"/>
    <w:rsid w:val="00BD5231"/>
    <w:rsid w:val="00BD52CC"/>
    <w:rsid w:val="00BD5BD5"/>
    <w:rsid w:val="00BE1816"/>
    <w:rsid w:val="00BE6BC0"/>
    <w:rsid w:val="00BF59F0"/>
    <w:rsid w:val="00C41A65"/>
    <w:rsid w:val="00C45EE7"/>
    <w:rsid w:val="00C64D7C"/>
    <w:rsid w:val="00C668A2"/>
    <w:rsid w:val="00C7290F"/>
    <w:rsid w:val="00C80A95"/>
    <w:rsid w:val="00C850B0"/>
    <w:rsid w:val="00C86C52"/>
    <w:rsid w:val="00C87E1A"/>
    <w:rsid w:val="00C91132"/>
    <w:rsid w:val="00C9182E"/>
    <w:rsid w:val="00CA2AA9"/>
    <w:rsid w:val="00CB1D26"/>
    <w:rsid w:val="00CB7CC9"/>
    <w:rsid w:val="00CC3E6F"/>
    <w:rsid w:val="00CD01B5"/>
    <w:rsid w:val="00CD345A"/>
    <w:rsid w:val="00CD3B8C"/>
    <w:rsid w:val="00CE2BF0"/>
    <w:rsid w:val="00CF1928"/>
    <w:rsid w:val="00CF2417"/>
    <w:rsid w:val="00CF4762"/>
    <w:rsid w:val="00CF4ADD"/>
    <w:rsid w:val="00D0312D"/>
    <w:rsid w:val="00D051EF"/>
    <w:rsid w:val="00D157EF"/>
    <w:rsid w:val="00D25395"/>
    <w:rsid w:val="00D260E4"/>
    <w:rsid w:val="00D30E71"/>
    <w:rsid w:val="00D457A5"/>
    <w:rsid w:val="00D467AE"/>
    <w:rsid w:val="00D62818"/>
    <w:rsid w:val="00D70C1A"/>
    <w:rsid w:val="00D8097B"/>
    <w:rsid w:val="00D81C6F"/>
    <w:rsid w:val="00D844B0"/>
    <w:rsid w:val="00D85C54"/>
    <w:rsid w:val="00D87A2C"/>
    <w:rsid w:val="00DA5910"/>
    <w:rsid w:val="00DB2FDB"/>
    <w:rsid w:val="00DB4A29"/>
    <w:rsid w:val="00DB6C16"/>
    <w:rsid w:val="00DC0CA2"/>
    <w:rsid w:val="00DD36D9"/>
    <w:rsid w:val="00DD571C"/>
    <w:rsid w:val="00DE09E1"/>
    <w:rsid w:val="00DE304D"/>
    <w:rsid w:val="00DE7234"/>
    <w:rsid w:val="00DE7B47"/>
    <w:rsid w:val="00E03E51"/>
    <w:rsid w:val="00E074FE"/>
    <w:rsid w:val="00E07A3D"/>
    <w:rsid w:val="00E11366"/>
    <w:rsid w:val="00E14AD6"/>
    <w:rsid w:val="00E34380"/>
    <w:rsid w:val="00E34FA2"/>
    <w:rsid w:val="00E56D26"/>
    <w:rsid w:val="00E633B9"/>
    <w:rsid w:val="00E71D9B"/>
    <w:rsid w:val="00E860DE"/>
    <w:rsid w:val="00E91FB2"/>
    <w:rsid w:val="00EA1688"/>
    <w:rsid w:val="00EA1B26"/>
    <w:rsid w:val="00EA3DF9"/>
    <w:rsid w:val="00EC1F94"/>
    <w:rsid w:val="00EC50F5"/>
    <w:rsid w:val="00F05FFA"/>
    <w:rsid w:val="00F0787B"/>
    <w:rsid w:val="00F2609D"/>
    <w:rsid w:val="00F262B0"/>
    <w:rsid w:val="00F63B0C"/>
    <w:rsid w:val="00F651C8"/>
    <w:rsid w:val="00F97DA0"/>
    <w:rsid w:val="00FA028A"/>
    <w:rsid w:val="00FB410E"/>
    <w:rsid w:val="00FB5013"/>
    <w:rsid w:val="00FB76E4"/>
    <w:rsid w:val="00FC18FB"/>
    <w:rsid w:val="00FD34E1"/>
    <w:rsid w:val="00FD381F"/>
    <w:rsid w:val="00FD5FB9"/>
    <w:rsid w:val="03C72416"/>
    <w:rsid w:val="099D7672"/>
    <w:rsid w:val="0C9D3045"/>
    <w:rsid w:val="288A04CA"/>
    <w:rsid w:val="29070C12"/>
    <w:rsid w:val="2915112A"/>
    <w:rsid w:val="2ADD2129"/>
    <w:rsid w:val="30ED30A8"/>
    <w:rsid w:val="34E16CD0"/>
    <w:rsid w:val="374E1A17"/>
    <w:rsid w:val="37E7757D"/>
    <w:rsid w:val="40AD3C52"/>
    <w:rsid w:val="42853E54"/>
    <w:rsid w:val="42980E45"/>
    <w:rsid w:val="42F83364"/>
    <w:rsid w:val="48FC5DE7"/>
    <w:rsid w:val="497E2B3B"/>
    <w:rsid w:val="4E8F79F5"/>
    <w:rsid w:val="5034388C"/>
    <w:rsid w:val="513E31D9"/>
    <w:rsid w:val="5217345A"/>
    <w:rsid w:val="53541F21"/>
    <w:rsid w:val="578C75A1"/>
    <w:rsid w:val="5C8262E6"/>
    <w:rsid w:val="5DD550D3"/>
    <w:rsid w:val="5FA13D0D"/>
    <w:rsid w:val="647E34FC"/>
    <w:rsid w:val="64D676D0"/>
    <w:rsid w:val="6C651D16"/>
    <w:rsid w:val="6E2D3B92"/>
    <w:rsid w:val="71747D82"/>
    <w:rsid w:val="749B0BBE"/>
    <w:rsid w:val="77223C57"/>
    <w:rsid w:val="7E2D2FAF"/>
    <w:rsid w:val="7ED52DC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8">
    <w:name w:val="Footer Char"/>
    <w:qFormat/>
    <w:locked/>
    <w:uiPriority w:val="99"/>
    <w:rPr>
      <w:rFonts w:eastAsia="宋体"/>
      <w:kern w:val="2"/>
      <w:sz w:val="18"/>
      <w:lang w:val="en-US" w:eastAsia="zh-CN"/>
    </w:rPr>
  </w:style>
  <w:style w:type="character" w:customStyle="1" w:styleId="9">
    <w:name w:val="Footer Char1"/>
    <w:basedOn w:val="6"/>
    <w:link w:val="2"/>
    <w:semiHidden/>
    <w:qFormat/>
    <w:locked/>
    <w:uiPriority w:val="99"/>
    <w:rPr>
      <w:rFonts w:cs="Times New Roman"/>
      <w:sz w:val="18"/>
      <w:szCs w:val="18"/>
    </w:rPr>
  </w:style>
  <w:style w:type="character" w:customStyle="1" w:styleId="10">
    <w:name w:val="Header Char"/>
    <w:basedOn w:val="6"/>
    <w:link w:val="3"/>
    <w:qFormat/>
    <w:locked/>
    <w:uiPriority w:val="99"/>
    <w:rPr>
      <w:rFonts w:cs="Times New Roman"/>
      <w:kern w:val="2"/>
      <w:sz w:val="18"/>
      <w:szCs w:val="18"/>
    </w:rPr>
  </w:style>
  <w:style w:type="paragraph" w:customStyle="1" w:styleId="11">
    <w:name w:val="05正文"/>
    <w:basedOn w:val="1"/>
    <w:link w:val="12"/>
    <w:qFormat/>
    <w:uiPriority w:val="99"/>
    <w:pPr>
      <w:spacing w:line="360" w:lineRule="exact"/>
      <w:ind w:firstLine="482"/>
    </w:pPr>
    <w:rPr>
      <w:rFonts w:eastAsia="方正书宋_GBK"/>
      <w:kern w:val="0"/>
      <w:sz w:val="20"/>
      <w:szCs w:val="20"/>
    </w:rPr>
  </w:style>
  <w:style w:type="character" w:customStyle="1" w:styleId="12">
    <w:name w:val="05正文  5级 Char"/>
    <w:link w:val="11"/>
    <w:qFormat/>
    <w:locked/>
    <w:uiPriority w:val="99"/>
    <w:rPr>
      <w:rFonts w:eastAsia="方正书宋_GBK"/>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531</Words>
  <Characters>3029</Characters>
  <Lines>0</Lines>
  <Paragraphs>0</Paragraphs>
  <TotalTime>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2018-04-18T01:26:00Z</dcterms:created>
  <dc:creator>Administrator</dc:creator>
  <cp:lastModifiedBy>lenovo</cp:lastModifiedBy>
  <dcterms:modified xsi:type="dcterms:W3CDTF">2021-08-03T07:05:57Z</dcterms:modified>
  <dc:title>后甫区块储备土地前期开发项目（城中公寓二期南区块）国有土地上房屋征收补偿安置方案（征求意见稿）</dc:title>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6E698C06BFB149F0895C0C730647ADA9</vt:lpwstr>
  </property>
</Properties>
</file>