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1：</w:t>
      </w:r>
    </w:p>
    <w:tbl>
      <w:tblPr>
        <w:tblStyle w:val="5"/>
        <w:tblW w:w="143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45"/>
        <w:gridCol w:w="705"/>
        <w:gridCol w:w="1080"/>
        <w:gridCol w:w="3090"/>
        <w:gridCol w:w="1050"/>
        <w:gridCol w:w="4275"/>
        <w:gridCol w:w="123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37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</w:rPr>
              <w:t>丽水市莲都区旅游投资发展有限公司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  <w:lang w:eastAsia="zh-CN"/>
              </w:rPr>
              <w:t>公开选聘市场化高级管理人员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</w:rPr>
              <w:t>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选聘岗位        </w:t>
            </w:r>
          </w:p>
        </w:tc>
        <w:tc>
          <w:tcPr>
            <w:tcW w:w="6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  需  资  格  条  件</w:t>
            </w:r>
          </w:p>
        </w:tc>
        <w:tc>
          <w:tcPr>
            <w:tcW w:w="4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选聘条件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（注明的条件需同时具备）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年薪区间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选聘人数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所学专业要求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4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置业管理（丽水市莲都区旅游投资发展有限公司中层（置业版块））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1.具有10年及以上房地产、物业管理相关工作经验；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2.在房地产、物业管理等相关规上企业（企业年度应纳税所得额超过300万元、从业人数超过300人、资产总额超过5000万元以上）任职过分公司或子公司总经理及以上职务3年及以上者。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25万-35万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ZDJkZDIxMzFhZDA0MjRlM2M0NWI4ZWQ0NGE2NDEifQ=="/>
  </w:docVars>
  <w:rsids>
    <w:rsidRoot w:val="62231127"/>
    <w:rsid w:val="6223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spacing w:before="0" w:after="120"/>
      <w:ind w:left="420" w:leftChars="200"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2023-03-07T02:19:00Z</dcterms:created>
  <dc:creator>叶健楠</dc:creator>
  <cp:lastModifiedBy>叶健楠</cp:lastModifiedBy>
  <dcterms:modified xsi:type="dcterms:W3CDTF">2023-03-07T02:19:33Z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A6450E945DE3416EB36F5AEA66567B44</vt:lpwstr>
  </property>
</Properties>
</file>