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方正小标宋简体" w:eastAsia="方正小标宋简体" w:cs="方正小标宋简体"/>
          <w:b w:val="0"/>
          <w:kern w:val="2"/>
          <w:sz w:val="44"/>
          <w:szCs w:val="44"/>
        </w:rPr>
      </w:pPr>
      <w:r>
        <w:rPr>
          <w:rFonts w:hint="eastAsia" w:ascii="方正小标宋简体" w:hAnsi="方正小标宋简体" w:eastAsia="方正小标宋简体" w:cs="方正小标宋简体"/>
          <w:b w:val="0"/>
          <w:kern w:val="2"/>
          <w:sz w:val="44"/>
          <w:szCs w:val="44"/>
        </w:rPr>
        <w:t>征地补偿安置方案</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楷体_GB2312" w:hAnsi="楷体_GB2312" w:eastAsia="楷体_GB2312" w:cs="楷体_GB2312"/>
        </w:rPr>
      </w:pPr>
      <w:r>
        <w:rPr>
          <w:rFonts w:hint="eastAsia" w:ascii="楷体_GB2312" w:hAnsi="楷体_GB2312" w:eastAsia="楷体_GB2312" w:cs="楷体_GB2312"/>
        </w:rPr>
        <w:t>莲征安置〔2022〕</w:t>
      </w:r>
      <w:r>
        <w:rPr>
          <w:rFonts w:hint="eastAsia" w:ascii="楷体_GB2312" w:hAnsi="楷体_GB2312" w:eastAsia="楷体_GB2312" w:cs="楷体_GB2312"/>
          <w:lang w:val="en-US" w:eastAsia="zh-CN"/>
        </w:rPr>
        <w:t>1</w:t>
      </w:r>
      <w:bookmarkStart w:id="0" w:name="_GoBack"/>
      <w:bookmarkEnd w:id="0"/>
      <w:r>
        <w:rPr>
          <w:rFonts w:hint="eastAsia" w:ascii="楷体_GB2312" w:hAnsi="楷体_GB2312" w:eastAsia="楷体_GB2312" w:cs="楷体_GB2312"/>
        </w:rPr>
        <w:t>号</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cs="仿宋_GB2312"/>
          <w:b/>
          <w:bCs/>
          <w:sz w:val="32"/>
          <w:szCs w:val="32"/>
        </w:rPr>
      </w:pPr>
      <w:r>
        <w:rPr>
          <w:rFonts w:hint="eastAsia" w:ascii="仿宋_GB2312" w:hAnsi="仿宋_GB2312" w:cs="仿宋_GB2312"/>
          <w:sz w:val="32"/>
          <w:szCs w:val="32"/>
        </w:rPr>
        <w:t>根据《中华人民共和国土地管理法》等有关规定，拟定本次《征地补偿安置方案》。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一、征收目的、范围及土地现状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 xml:space="preserve">因莲都区碧湖镇2022（19）号地块（白口大搬快聚地块）项目收储需要，需征收碧湖镇白口村、石牛村农民集体所有土地3.8122公顷（57.183亩），其中白口村耕地2.1204公顷，园地0.0504公顷，农村道路0.1989公顷，水域水利设施（坑塘水面）0.1207公顷，农村宅基地0.0071公顷；石牛村耕地1.0998公顷，园地0.0379公顷，农村道路0.0673公顷，水域水利设施（坑塘水面）0.1006公顷，水域水利设施（沟渠）0.0091公顷。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二、征收土地补偿标准、安置方式及保障内容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1.征地区片综合地价包括土地补偿费和安置补助费。按《丽水市人民政府办公室关于印发丽水市市区征收集体土地区片综合地价补偿标准的通知》（丽政办发〔2020〕42号）文件规定的征地区片综合地价补偿标准进行补偿，具体为：</w:t>
      </w:r>
    </w:p>
    <w:tbl>
      <w:tblPr>
        <w:tblStyle w:val="5"/>
        <w:tblW w:w="9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0"/>
        <w:gridCol w:w="2908"/>
        <w:gridCol w:w="1218"/>
        <w:gridCol w:w="1669"/>
        <w:gridCol w:w="1216"/>
        <w:gridCol w:w="14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6" w:hRule="atLeast"/>
        </w:trPr>
        <w:tc>
          <w:tcPr>
            <w:tcW w:w="10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被征</w:t>
            </w:r>
          </w:p>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地村</w:t>
            </w:r>
          </w:p>
        </w:tc>
        <w:tc>
          <w:tcPr>
            <w:tcW w:w="290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地类</w:t>
            </w:r>
          </w:p>
        </w:tc>
        <w:tc>
          <w:tcPr>
            <w:tcW w:w="28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u w:val="single"/>
              </w:rPr>
              <w:t xml:space="preserve">  II  </w:t>
            </w:r>
            <w:r>
              <w:rPr>
                <w:rFonts w:hint="eastAsia" w:asciiTheme="minorEastAsia" w:hAnsiTheme="minorEastAsia" w:eastAsiaTheme="minorEastAsia" w:cstheme="minorEastAsia"/>
                <w:b/>
                <w:bCs/>
                <w:sz w:val="24"/>
                <w:szCs w:val="24"/>
              </w:rPr>
              <w:t>区片</w:t>
            </w:r>
          </w:p>
        </w:tc>
        <w:tc>
          <w:tcPr>
            <w:tcW w:w="266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trPr>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Theme="minorEastAsia" w:hAnsiTheme="minorEastAsia" w:eastAsiaTheme="minorEastAsia" w:cstheme="minorEastAsia"/>
                <w:b/>
                <w:bCs/>
                <w:sz w:val="24"/>
                <w:szCs w:val="24"/>
              </w:rPr>
            </w:pPr>
          </w:p>
        </w:tc>
        <w:tc>
          <w:tcPr>
            <w:tcW w:w="29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Theme="minorEastAsia" w:hAnsiTheme="minorEastAsia" w:eastAsiaTheme="minorEastAsia" w:cstheme="minorEastAsia"/>
                <w:b/>
                <w:bCs/>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面积</w:t>
            </w:r>
          </w:p>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（公顷）</w:t>
            </w:r>
          </w:p>
        </w:tc>
        <w:tc>
          <w:tcPr>
            <w:tcW w:w="16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补偿标准</w:t>
            </w:r>
          </w:p>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（万元/公顷）</w:t>
            </w:r>
          </w:p>
        </w:tc>
        <w:tc>
          <w:tcPr>
            <w:tcW w:w="12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面积</w:t>
            </w:r>
          </w:p>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（公顷）</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补偿金额</w:t>
            </w:r>
          </w:p>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08" w:hRule="atLeast"/>
        </w:trPr>
        <w:tc>
          <w:tcPr>
            <w:tcW w:w="1070"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白口村</w:t>
            </w:r>
          </w:p>
        </w:tc>
        <w:tc>
          <w:tcPr>
            <w:tcW w:w="2908" w:type="dxa"/>
            <w:tcBorders>
              <w:top w:val="single" w:color="auto" w:sz="4" w:space="0"/>
              <w:left w:val="single" w:color="auto" w:sz="4" w:space="0"/>
              <w:right w:val="single" w:color="auto" w:sz="4" w:space="0"/>
            </w:tcBorders>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农用地〔耕地、园地、农村道路、水域水利设施（坑塘水面））、农村宅基地</w:t>
            </w:r>
          </w:p>
        </w:tc>
        <w:tc>
          <w:tcPr>
            <w:tcW w:w="1218"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2.4975</w:t>
            </w:r>
          </w:p>
        </w:tc>
        <w:tc>
          <w:tcPr>
            <w:tcW w:w="1669"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109.5</w:t>
            </w:r>
          </w:p>
        </w:tc>
        <w:tc>
          <w:tcPr>
            <w:tcW w:w="1216"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2.4975</w:t>
            </w:r>
          </w:p>
        </w:tc>
        <w:tc>
          <w:tcPr>
            <w:tcW w:w="1447"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273.47625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7" w:hRule="atLeast"/>
        </w:trPr>
        <w:tc>
          <w:tcPr>
            <w:tcW w:w="1070"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石牛村</w:t>
            </w:r>
          </w:p>
        </w:tc>
        <w:tc>
          <w:tcPr>
            <w:tcW w:w="2908" w:type="dxa"/>
            <w:tcBorders>
              <w:top w:val="single" w:color="auto" w:sz="4" w:space="0"/>
              <w:left w:val="single" w:color="auto" w:sz="4" w:space="0"/>
              <w:right w:val="single" w:color="auto" w:sz="4" w:space="0"/>
            </w:tcBorders>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农用地〔耕地、园地、农村道路、水域水利设施（坑塘水面、沟渠））</w:t>
            </w:r>
          </w:p>
        </w:tc>
        <w:tc>
          <w:tcPr>
            <w:tcW w:w="1218"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1.3147</w:t>
            </w:r>
          </w:p>
        </w:tc>
        <w:tc>
          <w:tcPr>
            <w:tcW w:w="1669"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109.5</w:t>
            </w:r>
          </w:p>
        </w:tc>
        <w:tc>
          <w:tcPr>
            <w:tcW w:w="1216"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1.3147</w:t>
            </w:r>
          </w:p>
        </w:tc>
        <w:tc>
          <w:tcPr>
            <w:tcW w:w="1447"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143.95965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trPr>
        <w:tc>
          <w:tcPr>
            <w:tcW w:w="3978"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3.8122</w:t>
            </w:r>
          </w:p>
        </w:tc>
        <w:tc>
          <w:tcPr>
            <w:tcW w:w="16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2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3.8122</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417.4359</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cs="仿宋_GB2312"/>
          <w:sz w:val="32"/>
          <w:szCs w:val="32"/>
        </w:rPr>
      </w:pPr>
      <w:r>
        <w:rPr>
          <w:rFonts w:hint="eastAsia" w:ascii="仿宋_GB2312" w:hAnsi="仿宋_GB2312" w:cs="仿宋_GB2312"/>
          <w:sz w:val="32"/>
          <w:szCs w:val="32"/>
        </w:rPr>
        <w:t>备注：农村宅基地征收补偿标准按丽政办发﹝2020﹞42号文件第六条进行结算。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cs="仿宋_GB2312"/>
          <w:sz w:val="32"/>
          <w:szCs w:val="32"/>
        </w:rPr>
      </w:pPr>
      <w:r>
        <w:rPr>
          <w:rFonts w:hint="eastAsia" w:ascii="仿宋_GB2312" w:hAnsi="仿宋_GB2312" w:cs="仿宋_GB2312"/>
          <w:sz w:val="32"/>
          <w:szCs w:val="32"/>
        </w:rPr>
        <w:t>2.地上附着物和青苗补偿费用实行包干补偿与按实补偿相结合的方式进行补偿，青苗和地上附着物实行包干补偿，现按丽政办发〔2021〕10号文件执行，即按照耕地、园地、农村道路、水域水利设施（坑塘水面、沟渠）23.25万元/公顷标准补偿给包干统筹，据实补偿给相应的所有权人（白口村），青苗和地上附着物补偿费57.9018万元人民币；所有权人（石牛村），青苗和地上附着物补偿费30.566775万元人民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cs="仿宋_GB2312"/>
          <w:sz w:val="32"/>
          <w:szCs w:val="32"/>
        </w:rPr>
      </w:pPr>
      <w:r>
        <w:rPr>
          <w:rFonts w:hint="eastAsia" w:ascii="仿宋_GB2312" w:hAnsi="仿宋_GB2312" w:cs="仿宋_GB2312"/>
          <w:sz w:val="32"/>
          <w:szCs w:val="32"/>
        </w:rPr>
        <w:t>以上合计，征收补偿费金额为人民币505.904475万元（大写：伍佰零伍万玖仟零肆拾肆元柒角伍分）。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cs="仿宋_GB2312"/>
          <w:sz w:val="32"/>
          <w:szCs w:val="32"/>
        </w:rPr>
      </w:pPr>
      <w:r>
        <w:rPr>
          <w:rFonts w:hint="eastAsia" w:ascii="仿宋_GB2312" w:hAnsi="仿宋_GB2312" w:cs="仿宋_GB2312"/>
          <w:sz w:val="32"/>
          <w:szCs w:val="32"/>
        </w:rPr>
        <w:t>3.社保安置。本次征地中参加被征地农民基本生活保障人数共</w:t>
      </w:r>
      <w:r>
        <w:rPr>
          <w:rFonts w:hint="eastAsia" w:ascii="仿宋_GB2312" w:hAnsi="仿宋_GB2312" w:cs="仿宋_GB2312"/>
          <w:sz w:val="32"/>
          <w:szCs w:val="32"/>
          <w:u w:val="single"/>
        </w:rPr>
        <w:t xml:space="preserve">   71     </w:t>
      </w:r>
      <w:r>
        <w:rPr>
          <w:rFonts w:hint="eastAsia" w:ascii="仿宋_GB2312" w:hAnsi="仿宋_GB2312" w:cs="仿宋_GB2312"/>
          <w:sz w:val="32"/>
          <w:szCs w:val="32"/>
        </w:rPr>
        <w:t>人，其中白口（任村自然村）</w:t>
      </w:r>
      <w:r>
        <w:rPr>
          <w:rFonts w:hint="eastAsia" w:ascii="仿宋_GB2312" w:hAnsi="仿宋_GB2312" w:cs="仿宋_GB2312"/>
          <w:sz w:val="32"/>
          <w:szCs w:val="32"/>
          <w:u w:val="single"/>
        </w:rPr>
        <w:t xml:space="preserve">   41   </w:t>
      </w:r>
      <w:r>
        <w:rPr>
          <w:rFonts w:hint="eastAsia" w:ascii="仿宋_GB2312" w:hAnsi="仿宋_GB2312" w:cs="仿宋_GB2312"/>
          <w:sz w:val="32"/>
          <w:szCs w:val="32"/>
        </w:rPr>
        <w:t>人，石牛村</w:t>
      </w:r>
      <w:r>
        <w:rPr>
          <w:rFonts w:hint="eastAsia" w:ascii="仿宋_GB2312" w:hAnsi="仿宋_GB2312" w:cs="仿宋_GB2312"/>
          <w:sz w:val="32"/>
          <w:szCs w:val="32"/>
          <w:u w:val="single"/>
        </w:rPr>
        <w:t xml:space="preserve">   30   </w:t>
      </w:r>
      <w:r>
        <w:rPr>
          <w:rFonts w:hint="eastAsia" w:ascii="仿宋_GB2312" w:hAnsi="仿宋_GB2312" w:cs="仿宋_GB2312"/>
          <w:sz w:val="32"/>
          <w:szCs w:val="32"/>
        </w:rPr>
        <w:t>人，被征地单位应按有关规定确认具体参保人数和名单，并办理相关手续。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cs="仿宋_GB2312"/>
          <w:sz w:val="32"/>
          <w:szCs w:val="32"/>
        </w:rPr>
      </w:pPr>
      <w:r>
        <w:rPr>
          <w:rFonts w:hint="eastAsia" w:ascii="仿宋_GB2312" w:hAnsi="仿宋_GB2312" w:cs="仿宋_GB2312"/>
          <w:sz w:val="32"/>
          <w:szCs w:val="32"/>
        </w:rPr>
        <w:t>4.鼓励被征地农民按照市有关规定参加就业培训。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三、土地征收经批准后，由丽水市莲都区人民政府按方案内容组织实施。</w:t>
      </w:r>
    </w:p>
    <w:p>
      <w:pPr>
        <w:spacing w:line="560" w:lineRule="exact"/>
        <w:ind w:firstLine="437"/>
        <w:rPr>
          <w:rFonts w:ascii="仿宋_GB2312" w:hAnsi="仿宋_GB2312" w:cs="仿宋_GB2312"/>
          <w:sz w:val="32"/>
          <w:szCs w:val="32"/>
        </w:rPr>
      </w:pPr>
    </w:p>
    <w:p>
      <w:pPr>
        <w:spacing w:line="560" w:lineRule="exact"/>
        <w:ind w:firstLine="437"/>
        <w:rPr>
          <w:rFonts w:ascii="仿宋_GB2312" w:hAnsi="仿宋_GB2312" w:cs="仿宋_GB2312"/>
          <w:sz w:val="32"/>
          <w:szCs w:val="32"/>
        </w:rPr>
      </w:pPr>
    </w:p>
    <w:p>
      <w:pPr>
        <w:spacing w:line="560" w:lineRule="exact"/>
        <w:ind w:firstLine="437"/>
        <w:rPr>
          <w:rFonts w:ascii="仿宋_GB2312" w:hAnsi="仿宋_GB2312" w:cs="仿宋_GB2312"/>
          <w:sz w:val="32"/>
          <w:szCs w:val="32"/>
        </w:rPr>
      </w:pPr>
    </w:p>
    <w:p>
      <w:pPr>
        <w:wordWrap w:val="0"/>
        <w:spacing w:line="560" w:lineRule="exact"/>
        <w:ind w:firstLine="437"/>
        <w:jc w:val="right"/>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rPr>
        <w:t xml:space="preserve">丽水市莲都区人民政府   </w:t>
      </w:r>
      <w:r>
        <w:rPr>
          <w:rFonts w:hint="eastAsia" w:ascii="仿宋_GB2312" w:hAnsi="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rPr>
        <w:t>2022年9月</w:t>
      </w:r>
      <w:r>
        <w:rPr>
          <w:rFonts w:hint="default" w:ascii="仿宋_GB2312" w:hAnsi="仿宋_GB2312" w:cs="仿宋_GB2312"/>
          <w:sz w:val="32"/>
          <w:szCs w:val="32"/>
        </w:rPr>
        <w:t>30</w:t>
      </w:r>
      <w:r>
        <w:rPr>
          <w:rFonts w:hint="eastAsia" w:ascii="仿宋_GB2312" w:hAnsi="仿宋_GB2312" w:cs="仿宋_GB2312"/>
          <w:sz w:val="32"/>
          <w:szCs w:val="32"/>
        </w:rPr>
        <w:t>日</w:t>
      </w:r>
      <w:r>
        <w:rPr>
          <w:rFonts w:hint="eastAsia" w:ascii="仿宋_GB2312" w:hAnsi="仿宋_GB2312" w:cs="仿宋_GB2312"/>
          <w:sz w:val="32"/>
          <w:szCs w:val="32"/>
          <w:lang w:val="en-US" w:eastAsia="zh-CN"/>
        </w:rPr>
        <w:t xml:space="preserve">      </w:t>
      </w:r>
    </w:p>
    <w:sectPr>
      <w:pgSz w:w="11906" w:h="16838"/>
      <w:pgMar w:top="1871" w:right="1474" w:bottom="1644" w:left="1474" w:header="851" w:footer="992" w:gutter="0"/>
      <w:cols w:space="0" w:num="1"/>
      <w:rtlGutter w:val="0"/>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2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007D3"/>
    <w:rsid w:val="00003DF7"/>
    <w:rsid w:val="0004249E"/>
    <w:rsid w:val="000432FC"/>
    <w:rsid w:val="00067428"/>
    <w:rsid w:val="00082C08"/>
    <w:rsid w:val="000A45F5"/>
    <w:rsid w:val="000D6E1D"/>
    <w:rsid w:val="00113A45"/>
    <w:rsid w:val="00121D40"/>
    <w:rsid w:val="001305A2"/>
    <w:rsid w:val="00150E6C"/>
    <w:rsid w:val="0017258B"/>
    <w:rsid w:val="001826D8"/>
    <w:rsid w:val="00193191"/>
    <w:rsid w:val="00195666"/>
    <w:rsid w:val="001969F9"/>
    <w:rsid w:val="00197A5E"/>
    <w:rsid w:val="001B2243"/>
    <w:rsid w:val="001D3129"/>
    <w:rsid w:val="001D4AF5"/>
    <w:rsid w:val="001F6FF1"/>
    <w:rsid w:val="002133D4"/>
    <w:rsid w:val="00222AB1"/>
    <w:rsid w:val="00234408"/>
    <w:rsid w:val="00235411"/>
    <w:rsid w:val="00274672"/>
    <w:rsid w:val="00275122"/>
    <w:rsid w:val="00281416"/>
    <w:rsid w:val="0028437B"/>
    <w:rsid w:val="00296BA0"/>
    <w:rsid w:val="00297D99"/>
    <w:rsid w:val="002A779A"/>
    <w:rsid w:val="002C700D"/>
    <w:rsid w:val="002C73FB"/>
    <w:rsid w:val="002E0857"/>
    <w:rsid w:val="002E551F"/>
    <w:rsid w:val="002F0568"/>
    <w:rsid w:val="002F4E8E"/>
    <w:rsid w:val="003106A4"/>
    <w:rsid w:val="003318E9"/>
    <w:rsid w:val="00337B11"/>
    <w:rsid w:val="003740D9"/>
    <w:rsid w:val="00376B70"/>
    <w:rsid w:val="003A36B2"/>
    <w:rsid w:val="003B6A6A"/>
    <w:rsid w:val="003C329C"/>
    <w:rsid w:val="003E4311"/>
    <w:rsid w:val="003F203C"/>
    <w:rsid w:val="004275D1"/>
    <w:rsid w:val="00446155"/>
    <w:rsid w:val="00470E1B"/>
    <w:rsid w:val="00476C71"/>
    <w:rsid w:val="00483AE3"/>
    <w:rsid w:val="004B357B"/>
    <w:rsid w:val="004B4AB5"/>
    <w:rsid w:val="004B4D11"/>
    <w:rsid w:val="004C1849"/>
    <w:rsid w:val="004C6B87"/>
    <w:rsid w:val="00521558"/>
    <w:rsid w:val="0053048C"/>
    <w:rsid w:val="00546FB4"/>
    <w:rsid w:val="00551E3D"/>
    <w:rsid w:val="00567EE0"/>
    <w:rsid w:val="00575911"/>
    <w:rsid w:val="005816B0"/>
    <w:rsid w:val="00583342"/>
    <w:rsid w:val="005A1326"/>
    <w:rsid w:val="005B48DE"/>
    <w:rsid w:val="005B660A"/>
    <w:rsid w:val="005D13B1"/>
    <w:rsid w:val="005E3894"/>
    <w:rsid w:val="005F56A4"/>
    <w:rsid w:val="006070B9"/>
    <w:rsid w:val="00617C88"/>
    <w:rsid w:val="00685292"/>
    <w:rsid w:val="00696498"/>
    <w:rsid w:val="006B757C"/>
    <w:rsid w:val="006C0E6D"/>
    <w:rsid w:val="006C4C9A"/>
    <w:rsid w:val="006D7A11"/>
    <w:rsid w:val="006E1F34"/>
    <w:rsid w:val="006F31F8"/>
    <w:rsid w:val="006F7136"/>
    <w:rsid w:val="0071549C"/>
    <w:rsid w:val="00716D4F"/>
    <w:rsid w:val="00733E38"/>
    <w:rsid w:val="007427E0"/>
    <w:rsid w:val="0074281A"/>
    <w:rsid w:val="00747984"/>
    <w:rsid w:val="0075331B"/>
    <w:rsid w:val="00756C17"/>
    <w:rsid w:val="007574A7"/>
    <w:rsid w:val="00766870"/>
    <w:rsid w:val="00782041"/>
    <w:rsid w:val="00784D0D"/>
    <w:rsid w:val="00785A2C"/>
    <w:rsid w:val="007911E5"/>
    <w:rsid w:val="00791D13"/>
    <w:rsid w:val="00796FF1"/>
    <w:rsid w:val="007F1A7C"/>
    <w:rsid w:val="00837CBB"/>
    <w:rsid w:val="0086278C"/>
    <w:rsid w:val="00875DA6"/>
    <w:rsid w:val="00882DCF"/>
    <w:rsid w:val="00893540"/>
    <w:rsid w:val="008A3BAF"/>
    <w:rsid w:val="008A5A31"/>
    <w:rsid w:val="008B3189"/>
    <w:rsid w:val="008C4E87"/>
    <w:rsid w:val="008D3C1C"/>
    <w:rsid w:val="0090447E"/>
    <w:rsid w:val="00913C41"/>
    <w:rsid w:val="0092281F"/>
    <w:rsid w:val="00933730"/>
    <w:rsid w:val="00944645"/>
    <w:rsid w:val="00984F96"/>
    <w:rsid w:val="0098528E"/>
    <w:rsid w:val="00986EF3"/>
    <w:rsid w:val="009970A0"/>
    <w:rsid w:val="009A0F6F"/>
    <w:rsid w:val="009B6D68"/>
    <w:rsid w:val="009E3EE0"/>
    <w:rsid w:val="00A13D1A"/>
    <w:rsid w:val="00A13FB3"/>
    <w:rsid w:val="00A1656F"/>
    <w:rsid w:val="00A32BFB"/>
    <w:rsid w:val="00A378C7"/>
    <w:rsid w:val="00A37E54"/>
    <w:rsid w:val="00A424FD"/>
    <w:rsid w:val="00A4254A"/>
    <w:rsid w:val="00A63639"/>
    <w:rsid w:val="00A96B81"/>
    <w:rsid w:val="00AB1169"/>
    <w:rsid w:val="00AD13E2"/>
    <w:rsid w:val="00AD4374"/>
    <w:rsid w:val="00AD7523"/>
    <w:rsid w:val="00AF50A4"/>
    <w:rsid w:val="00B24F22"/>
    <w:rsid w:val="00B271EA"/>
    <w:rsid w:val="00B61D2E"/>
    <w:rsid w:val="00B75FE0"/>
    <w:rsid w:val="00B87464"/>
    <w:rsid w:val="00BA5971"/>
    <w:rsid w:val="00BE54B5"/>
    <w:rsid w:val="00BF64E8"/>
    <w:rsid w:val="00C026E5"/>
    <w:rsid w:val="00C260E1"/>
    <w:rsid w:val="00C726AB"/>
    <w:rsid w:val="00C82B2C"/>
    <w:rsid w:val="00C93568"/>
    <w:rsid w:val="00CA3133"/>
    <w:rsid w:val="00CB6959"/>
    <w:rsid w:val="00CC69B8"/>
    <w:rsid w:val="00CD4D2B"/>
    <w:rsid w:val="00D067BC"/>
    <w:rsid w:val="00D31CDD"/>
    <w:rsid w:val="00D31F11"/>
    <w:rsid w:val="00D53812"/>
    <w:rsid w:val="00D67BB9"/>
    <w:rsid w:val="00D93499"/>
    <w:rsid w:val="00DB6D65"/>
    <w:rsid w:val="00DC52F1"/>
    <w:rsid w:val="00DE2017"/>
    <w:rsid w:val="00E13769"/>
    <w:rsid w:val="00E1451A"/>
    <w:rsid w:val="00E243CF"/>
    <w:rsid w:val="00E4459A"/>
    <w:rsid w:val="00E50D40"/>
    <w:rsid w:val="00E65B5A"/>
    <w:rsid w:val="00E67309"/>
    <w:rsid w:val="00E86976"/>
    <w:rsid w:val="00EA7CF6"/>
    <w:rsid w:val="00EB4B94"/>
    <w:rsid w:val="00ED1BEF"/>
    <w:rsid w:val="00ED4FC7"/>
    <w:rsid w:val="00EE325B"/>
    <w:rsid w:val="00F11589"/>
    <w:rsid w:val="00F3466E"/>
    <w:rsid w:val="00F50112"/>
    <w:rsid w:val="00F752CC"/>
    <w:rsid w:val="00F76CCD"/>
    <w:rsid w:val="00F93180"/>
    <w:rsid w:val="00F956F3"/>
    <w:rsid w:val="00F97F8B"/>
    <w:rsid w:val="00FA719D"/>
    <w:rsid w:val="00FC7647"/>
    <w:rsid w:val="00FF67FB"/>
    <w:rsid w:val="05722F06"/>
    <w:rsid w:val="07F272F0"/>
    <w:rsid w:val="155923B2"/>
    <w:rsid w:val="28101845"/>
    <w:rsid w:val="290C613B"/>
    <w:rsid w:val="375820C3"/>
    <w:rsid w:val="39596BB9"/>
    <w:rsid w:val="3B484345"/>
    <w:rsid w:val="43203F81"/>
    <w:rsid w:val="52DD3CFE"/>
    <w:rsid w:val="57505E5D"/>
    <w:rsid w:val="5F5FD286"/>
    <w:rsid w:val="5FDF7DF7"/>
    <w:rsid w:val="68521936"/>
    <w:rsid w:val="6F5E2714"/>
    <w:rsid w:val="6F775D8B"/>
    <w:rsid w:val="7238819B"/>
    <w:rsid w:val="758A0F5C"/>
    <w:rsid w:val="76C32B6E"/>
    <w:rsid w:val="775B99CE"/>
    <w:rsid w:val="781C5058"/>
    <w:rsid w:val="7AA56FDA"/>
    <w:rsid w:val="7D678CC7"/>
    <w:rsid w:val="7DFE2221"/>
    <w:rsid w:val="7E3345E2"/>
    <w:rsid w:val="7FEDD712"/>
    <w:rsid w:val="9D7EAF91"/>
    <w:rsid w:val="AF7FD50A"/>
    <w:rsid w:val="B9BFF638"/>
    <w:rsid w:val="BF3C3D50"/>
    <w:rsid w:val="BFFDEB19"/>
    <w:rsid w:val="E7FF5922"/>
    <w:rsid w:val="F9F64937"/>
    <w:rsid w:val="FBFC1A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link w:val="9"/>
    <w:qFormat/>
    <w:uiPriority w:val="0"/>
    <w:pPr>
      <w:widowControl/>
      <w:spacing w:before="100" w:beforeAutospacing="1" w:after="100" w:afterAutospacing="1"/>
      <w:jc w:val="left"/>
      <w:outlineLvl w:val="0"/>
    </w:pPr>
    <w:rPr>
      <w:rFonts w:ascii="宋体" w:hAnsi="宋体"/>
      <w:b/>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0"/>
    <w:rPr>
      <w:rFonts w:ascii="宋体" w:hAnsi="宋体" w:eastAsia="仿宋_GB2312" w:cs="Times New Roman"/>
      <w:b/>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3</Pages>
  <Words>171</Words>
  <Characters>978</Characters>
  <Lines>8</Lines>
  <Paragraphs>2</Paragraphs>
  <TotalTime>194</TotalTime>
  <ScaleCrop>false</ScaleCrop>
  <LinksUpToDate>false</LinksUpToDate>
  <CharactersWithSpaces>1147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2020-11-20T04:58:00Z</dcterms:created>
  <dc:creator>Administrator</dc:creator>
  <cp:lastModifiedBy>Jin</cp:lastModifiedBy>
  <cp:lastPrinted>2021-06-30T19:33:00Z</cp:lastPrinted>
  <dcterms:modified xsi:type="dcterms:W3CDTF">2022-10-17T07:50:06Z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woTemplateTypoMode" linkTarget="0">
    <vt:lpwstr>web</vt:lpwstr>
  </property>
  <property fmtid="{D5CDD505-2E9C-101B-9397-08002B2CF9AE}" pid="4" name="woTemplate" linkTarget="0">
    <vt:i4>1</vt:i4>
  </property>
</Properties>
</file>