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仿宋"/>
          <w:sz w:val="36"/>
          <w:szCs w:val="36"/>
        </w:rPr>
      </w:pPr>
      <w:r>
        <w:rPr>
          <w:rFonts w:hint="eastAsia" w:ascii="方正小标宋简体" w:eastAsia="方正小标宋简体" w:cs="仿宋"/>
          <w:sz w:val="36"/>
          <w:szCs w:val="36"/>
        </w:rPr>
        <w:t>丽水</w:t>
      </w:r>
      <w:r>
        <w:rPr>
          <w:rFonts w:hint="eastAsia" w:ascii="方正小标宋简体" w:eastAsia="方正小标宋简体" w:cs="仿宋"/>
          <w:sz w:val="36"/>
          <w:szCs w:val="36"/>
          <w:lang w:eastAsia="zh-CN"/>
        </w:rPr>
        <w:t>市莲都区国有资产投资经营有限</w:t>
      </w:r>
      <w:r>
        <w:rPr>
          <w:rFonts w:hint="eastAsia" w:ascii="方正小标宋简体" w:eastAsia="方正小标宋简体" w:cs="仿宋"/>
          <w:sz w:val="36"/>
          <w:szCs w:val="36"/>
        </w:rPr>
        <w:t>公司公开招聘工作人员岗位计划表</w:t>
      </w:r>
    </w:p>
    <w:tbl>
      <w:tblPr>
        <w:tblStyle w:val="2"/>
        <w:tblW w:w="13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85"/>
        <w:gridCol w:w="1005"/>
        <w:gridCol w:w="1425"/>
        <w:gridCol w:w="795"/>
        <w:gridCol w:w="780"/>
        <w:gridCol w:w="1875"/>
        <w:gridCol w:w="295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招聘岗位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人数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学历要求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年龄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专业要求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其他要求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工程管理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土木类、建筑类、水利类、电气类、管理科学与工程类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面向普通高校2022年应届毕业生和择业期内未落实工作单位的2021届、2020届毕业生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工程管理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大专及以上学历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土木类、建筑类、建筑设计类、城乡规划与管理类、土建施工类、建筑工程管理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具有2年及以上相关工作经历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工程管理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大专及以上学历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男性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水利类、水利工程与管理类、市政工程类、给排水科学与工程、道路桥梁工程技术</w:t>
            </w:r>
          </w:p>
        </w:tc>
        <w:tc>
          <w:tcPr>
            <w:tcW w:w="29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具有2年及以上相关工作经历</w:t>
            </w:r>
          </w:p>
        </w:tc>
        <w:tc>
          <w:tcPr>
            <w:tcW w:w="21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投资管理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大专及以上学历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金融学类、经济学类、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金融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在银行、证券、基金等金融类企业从事投资、金融相关工作5年以上，具有股权投资、基金投资、资本运营等实战经验者优先</w:t>
            </w:r>
          </w:p>
        </w:tc>
        <w:tc>
          <w:tcPr>
            <w:tcW w:w="21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具有全日制研究生学历免笔试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（参照公司中层正职待遇）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及以上学历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男性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建筑类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土木类、市政工程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、交通工程</w:t>
            </w:r>
          </w:p>
        </w:tc>
        <w:tc>
          <w:tcPr>
            <w:tcW w:w="29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同时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一级建造师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</w:rPr>
              <w:t>高级工程师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职称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8年及以上建筑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相关经历</w:t>
            </w:r>
          </w:p>
        </w:tc>
        <w:tc>
          <w:tcPr>
            <w:tcW w:w="21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</w:rPr>
              <w:t>具有相关专业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一级造价师资格（含原相关专业造价师资格）的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</w:rPr>
              <w:t>免笔试，年龄放宽至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val="en-US" w:eastAsia="zh-CN"/>
              </w:rPr>
              <w:t>50周岁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5（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参照公司中层副职待遇）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及以上学历</w:t>
            </w:r>
          </w:p>
        </w:tc>
        <w:tc>
          <w:tcPr>
            <w:tcW w:w="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男性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土木类、水利类、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市政工程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、交通工程</w:t>
            </w:r>
          </w:p>
        </w:tc>
        <w:tc>
          <w:tcPr>
            <w:tcW w:w="29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 w:cs="Calibri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同时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专业二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级建造师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专业工程师职称，具有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8年及以上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水利、交通工程管理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相关经历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" w:hAnsiTheme="minorHAns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</w:rPr>
              <w:t>相关</w:t>
            </w:r>
            <w:r>
              <w:rPr>
                <w:rFonts w:hint="eastAsia" w:ascii="仿宋_GB2312" w:hAnsi="Times New Roman" w:eastAsia="仿宋_GB2312" w:cs="仿宋"/>
                <w:color w:val="auto"/>
                <w:sz w:val="18"/>
                <w:szCs w:val="18"/>
                <w:lang w:eastAsia="zh-CN"/>
              </w:rPr>
              <w:t>专业一级造价师资格（含原相关专业造价师）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</w:rPr>
              <w:t>免笔试，年龄放宽至</w:t>
            </w:r>
            <w:r>
              <w:rPr>
                <w:rFonts w:hint="eastAsia" w:ascii="仿宋_GB2312" w:eastAsia="仿宋_GB2312" w:cs="仿宋"/>
                <w:color w:val="auto"/>
                <w:sz w:val="18"/>
                <w:szCs w:val="18"/>
                <w:lang w:val="en-US" w:eastAsia="zh-CN"/>
              </w:rPr>
              <w:t>45周岁</w:t>
            </w:r>
          </w:p>
        </w:tc>
      </w:tr>
    </w:tbl>
    <w:p>
      <w:pPr>
        <w:widowControl/>
        <w:jc w:val="left"/>
        <w:rPr>
          <w:color w:val="auto"/>
        </w:rPr>
        <w:sectPr>
          <w:pgSz w:w="16838" w:h="11906" w:orient="landscape"/>
          <w:pgMar w:top="612" w:right="1440" w:bottom="612" w:left="1440" w:header="851" w:footer="992" w:gutter="0"/>
          <w:cols w:space="720" w:num="1"/>
          <w:docGrid w:type="lines" w:linePitch="312" w:charSpace="0"/>
        </w:sect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D4E6D"/>
    <w:rsid w:val="02E20138"/>
    <w:rsid w:val="300417CD"/>
    <w:rsid w:val="31112000"/>
    <w:rsid w:val="324D4E6D"/>
    <w:rsid w:val="46847DC8"/>
    <w:rsid w:val="5FA63A9C"/>
    <w:rsid w:val="79D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2022-01-30T04:32:00Z</dcterms:created>
  <dc:creator>Administrator</dc:creator>
  <cp:lastModifiedBy>asus</cp:lastModifiedBy>
  <dcterms:modified xsi:type="dcterms:W3CDTF">2022-01-30T09:32:48Z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3BF792BB5B904DDAA2199497512A56DD</vt:lpwstr>
  </property>
</Properties>
</file>